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87"/>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JSZC-320211-BJZC-G2026-0007</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2026年滨湖区区管绿化老设施养护服务项目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北京中昌工程咨询有限公司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七</w:t>
      </w:r>
      <w:r>
        <w:rPr>
          <w:rFonts w:eastAsia="黑体"/>
          <w:bCs/>
          <w:color w:val="auto"/>
          <w:sz w:val="36"/>
          <w:szCs w:val="36"/>
          <w:highlight w:val="none"/>
        </w:rPr>
        <w:t xml:space="preserve">月</w:t>
      </w:r>
      <w:r/>
    </w:p>
    <w:p>
      <w:pPr>
        <w:jc w:val="center"/>
        <w:rPr>
          <w:rStyle w:val="992"/>
          <w:rFonts w:eastAsia="黑体"/>
          <w:bCs/>
          <w:color w:val="auto"/>
          <w:sz w:val="48"/>
          <w:highlight w:val="none"/>
        </w:rPr>
      </w:pPr>
      <w:r>
        <w:rPr>
          <w:rStyle w:val="992"/>
          <w:rFonts w:eastAsia="黑体"/>
          <w:bCs/>
          <w:color w:val="auto"/>
          <w:sz w:val="48"/>
          <w:highlight w:val="none"/>
        </w:rPr>
        <w:br w:type="page" w:clear="all"/>
      </w:r>
      <w:r>
        <w:rPr>
          <w:rStyle w:val="992"/>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highlight w:val="none"/>
        </w:rPr>
      </w:pPr>
      <w:r/>
      <w:bookmarkStart w:id="0" w:name="报价方须知前附表"/>
      <w:r/>
      <w:bookmarkEnd w:id="0"/>
      <w:r/>
      <w:r/>
    </w:p>
    <w:p>
      <w:pPr>
        <w:pStyle w:val="726"/>
        <w:spacing w:line="480" w:lineRule="auto"/>
        <w:tabs>
          <w:tab w:val="right" w:pos="9921" w:leader="dot"/>
        </w:tabs>
        <w:rPr>
          <w:rFonts w:hint="eastAsia" w:ascii="宋体" w:hAnsi="宋体" w:eastAsia="宋体" w:cs="宋体"/>
          <w:b/>
          <w:bCs/>
          <w:color w:val="auto"/>
          <w:sz w:val="32"/>
          <w:szCs w:val="28"/>
          <w:highlight w:val="none"/>
        </w:rPr>
      </w:pPr>
      <w:r/>
      <w:bookmarkStart w:id="1" w:name="_Toc28172"/>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TOC \o "1-1" \h \u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HYPERLINK \l _Toc14385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lang w:eastAsia="zh-CN"/>
        </w:rPr>
        <w:t xml:space="preserve">一、</w:t>
      </w:r>
      <w:r>
        <w:rPr>
          <w:rFonts w:hint="eastAsia" w:ascii="宋体" w:hAnsi="宋体" w:eastAsia="宋体" w:cs="宋体"/>
          <w:b/>
          <w:bCs/>
          <w:color w:val="auto"/>
          <w:sz w:val="32"/>
          <w:szCs w:val="44"/>
          <w:highlight w:val="none"/>
        </w:rPr>
        <w:t xml:space="preserve">投标邀请函</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_Toc14385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3</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28"/>
          <w:highlight w:val="none"/>
        </w:rPr>
        <w:fldChar w:fldCharType="end"/>
      </w:r>
      <w:r/>
    </w:p>
    <w:p>
      <w:pPr>
        <w:pStyle w:val="726"/>
        <w:spacing w:line="480" w:lineRule="auto"/>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HYPERLINK \l _Toc22870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t xml:space="preserve">二</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44"/>
          <w:highlight w:val="none"/>
        </w:rPr>
        <w:t xml:space="preserve">投标供应商须知</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_Toc22870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9</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28"/>
          <w:highlight w:val="none"/>
        </w:rPr>
        <w:fldChar w:fldCharType="end"/>
      </w:r>
      <w:r/>
    </w:p>
    <w:p>
      <w:pPr>
        <w:pStyle w:val="726"/>
        <w:spacing w:line="480" w:lineRule="auto"/>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HYPERLINK \l _Toc4840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t xml:space="preserve">三</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44"/>
          <w:highlight w:val="none"/>
        </w:rPr>
        <w:t xml:space="preserve">项目技术要求和有关说明</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_Toc4840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23</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28"/>
          <w:highlight w:val="none"/>
        </w:rPr>
        <w:fldChar w:fldCharType="end"/>
      </w:r>
      <w:r/>
    </w:p>
    <w:p>
      <w:pPr>
        <w:pStyle w:val="726"/>
        <w:spacing w:line="480" w:lineRule="auto"/>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HYPERLINK \l _Toc25311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t xml:space="preserve">四</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44"/>
          <w:highlight w:val="none"/>
        </w:rPr>
        <w:t xml:space="preserve">合同书</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44"/>
          <w:highlight w:val="none"/>
          <w:lang w:val="en-US" w:eastAsia="zh-CN"/>
        </w:rPr>
        <w:t xml:space="preserve">格式</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_Toc25311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29</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28"/>
          <w:highlight w:val="none"/>
        </w:rPr>
        <w:fldChar w:fldCharType="end"/>
      </w:r>
      <w:r/>
    </w:p>
    <w:p>
      <w:pPr>
        <w:pStyle w:val="726"/>
        <w:spacing w:line="480" w:lineRule="auto"/>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HYPERLINK \l _Toc16869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60"/>
          <w:highlight w:val="none"/>
          <w:lang w:val="en-US" w:eastAsia="zh-CN"/>
        </w:rPr>
        <w:t xml:space="preserve">五</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60"/>
          <w:highlight w:val="none"/>
        </w:rPr>
        <w:t xml:space="preserve">合同条款（格式）</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_Toc16869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31</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28"/>
          <w:highlight w:val="none"/>
        </w:rPr>
        <w:fldChar w:fldCharType="end"/>
      </w:r>
      <w:r/>
    </w:p>
    <w:p>
      <w:pPr>
        <w:pStyle w:val="726"/>
        <w:spacing w:line="480" w:lineRule="auto"/>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HYPERLINK \l _Toc10563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t xml:space="preserve">六</w:t>
      </w:r>
      <w:r>
        <w:rPr>
          <w:rFonts w:hint="eastAsia" w:ascii="宋体" w:hAnsi="宋体" w:eastAsia="宋体" w:cs="宋体"/>
          <w:b/>
          <w:bCs/>
          <w:color w:val="auto"/>
          <w:sz w:val="32"/>
          <w:szCs w:val="44"/>
          <w:highlight w:val="none"/>
          <w:lang w:eastAsia="zh-CN"/>
        </w:rPr>
        <w:t xml:space="preserve">、</w:t>
      </w:r>
      <w:r>
        <w:rPr>
          <w:rFonts w:hint="eastAsia" w:ascii="宋体" w:hAnsi="宋体" w:eastAsia="宋体" w:cs="宋体"/>
          <w:b/>
          <w:bCs/>
          <w:color w:val="auto"/>
          <w:sz w:val="32"/>
          <w:szCs w:val="44"/>
          <w:highlight w:val="none"/>
        </w:rPr>
        <w:t xml:space="preserve">附件</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_Toc10563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37</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28"/>
          <w:highlight w:val="none"/>
        </w:rPr>
        <w:fldChar w:fldCharType="end"/>
      </w:r>
      <w:r/>
    </w:p>
    <w:p>
      <w:pPr>
        <w:spacing w:line="480" w:lineRule="auto"/>
        <w:rPr>
          <w:color w:val="auto"/>
          <w:highlight w:val="none"/>
        </w:rPr>
      </w:pPr>
      <w:r>
        <w:rPr>
          <w:rFonts w:hint="eastAsia" w:ascii="宋体" w:hAnsi="宋体" w:eastAsia="宋体" w:cs="宋体"/>
          <w:b/>
          <w:bCs/>
          <w:color w:val="auto"/>
          <w:sz w:val="32"/>
          <w:szCs w:val="28"/>
          <w:highlight w:val="none"/>
        </w:rPr>
        <w:fldChar w:fldCharType="end"/>
      </w:r>
      <w:r/>
    </w:p>
    <w:p>
      <w:pPr>
        <w:jc w:val="center"/>
        <w:rPr>
          <w:rFonts w:ascii="Times New Roman" w:hAnsi="Times New Roman" w:eastAsia="黑体" w:cs="Times New Roman"/>
          <w:bCs/>
          <w:color w:val="auto"/>
          <w:sz w:val="28"/>
          <w:szCs w:val="28"/>
          <w:highlight w:val="none"/>
        </w:rPr>
        <w:outlineLvl w:val="0"/>
      </w:pPr>
      <w:r>
        <w:rPr>
          <w:color w:val="auto"/>
          <w:highlight w:val="none"/>
        </w:rPr>
        <w:br w:type="page" w:clear="all"/>
      </w:r>
      <w:bookmarkStart w:id="2" w:name="_Toc14385"/>
      <w:r>
        <w:rPr>
          <w:rFonts w:hint="eastAsia" w:ascii="Times New Roman" w:hAnsi="Times New Roman" w:eastAsia="黑体" w:cs="Times New Roman"/>
          <w:bCs/>
          <w:color w:val="auto"/>
          <w:sz w:val="28"/>
          <w:szCs w:val="28"/>
          <w:highlight w:val="none"/>
          <w:lang w:val="en-US" w:eastAsia="zh-CN"/>
        </w:rPr>
        <w:t xml:space="preserve">一、</w:t>
      </w:r>
      <w:r>
        <w:rPr>
          <w:rFonts w:ascii="Times New Roman" w:hAnsi="Times New Roman" w:eastAsia="黑体" w:cs="Times New Roman"/>
          <w:bCs/>
          <w:color w:val="auto"/>
          <w:sz w:val="28"/>
          <w:szCs w:val="28"/>
          <w:highlight w:val="none"/>
        </w:rPr>
        <w:t xml:space="preserve">投标邀请函</w:t>
      </w:r>
      <w:bookmarkEnd w:id="1"/>
      <w:r/>
      <w:bookmarkEnd w:id="2"/>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无锡市滨湖区城市管理局</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2026年滨湖区区管绿化老设施养护服务项目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项目名称：2026年滨湖区区管绿化老设施养护服务项目</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项目编号：</w:t>
      </w:r>
      <w:r>
        <w:rPr>
          <w:rFonts w:hint="eastAsia" w:ascii="宋体" w:hAnsi="宋体" w:cs="宋体"/>
          <w:bCs/>
          <w:color w:val="auto"/>
          <w:sz w:val="24"/>
          <w:szCs w:val="24"/>
          <w:highlight w:val="none"/>
          <w:lang w:eastAsia="zh-CN"/>
        </w:rPr>
        <w:t xml:space="preserve">JSZC-320211-BJZC-G2026-0007</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3.合同履行期限（养护期限）：3年（以合同签订日期为准）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4.项目预算：</w:t>
      </w:r>
      <w:r>
        <w:rPr>
          <w:rFonts w:hint="eastAsia" w:ascii="宋体" w:hAnsi="宋体" w:cs="宋体"/>
          <w:bCs/>
          <w:color w:val="auto"/>
          <w:sz w:val="24"/>
          <w:szCs w:val="24"/>
          <w:highlight w:val="none"/>
          <w:lang w:val="en-US" w:eastAsia="zh-CN"/>
        </w:rPr>
        <w:t xml:space="preserve">133.373041万</w:t>
      </w:r>
      <w:r>
        <w:rPr>
          <w:rFonts w:hint="eastAsia" w:ascii="宋体" w:hAnsi="宋体" w:eastAsia="宋体" w:cs="宋体"/>
          <w:bCs/>
          <w:color w:val="auto"/>
          <w:sz w:val="24"/>
          <w:szCs w:val="24"/>
          <w:highlight w:val="none"/>
          <w:lang w:eastAsia="zh-CN"/>
        </w:rPr>
        <w:t xml:space="preserve">元</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一标段：92.030514万元，二标段41.342527万元</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5.最高限价：121</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7246</w:t>
      </w:r>
      <w:r>
        <w:rPr>
          <w:rFonts w:hint="eastAsia" w:ascii="宋体" w:hAnsi="宋体" w:cs="宋体"/>
          <w:b/>
          <w:bCs w:val="0"/>
          <w:color w:val="auto"/>
          <w:sz w:val="24"/>
          <w:szCs w:val="24"/>
          <w:highlight w:val="none"/>
          <w:lang w:val="en-US" w:eastAsia="zh-CN"/>
        </w:rPr>
        <w:t xml:space="preserve">万</w:t>
      </w:r>
      <w:r>
        <w:rPr>
          <w:rFonts w:hint="eastAsia" w:ascii="宋体" w:hAnsi="宋体" w:eastAsia="宋体" w:cs="宋体"/>
          <w:b/>
          <w:bCs w:val="0"/>
          <w:color w:val="auto"/>
          <w:sz w:val="24"/>
          <w:szCs w:val="24"/>
          <w:highlight w:val="none"/>
          <w:lang w:val="en-US" w:eastAsia="zh-CN"/>
        </w:rPr>
        <w:t xml:space="preserve">元</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各标段及路段最高限价详见下表：</w:t>
      </w:r>
      <w:r/>
    </w:p>
    <w:tbl>
      <w:tblPr>
        <w:tblStyle w:val="711"/>
        <w:tblW w:w="91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988"/>
        <w:gridCol w:w="2217"/>
        <w:gridCol w:w="1455"/>
        <w:gridCol w:w="1662"/>
        <w:gridCol w:w="2227"/>
      </w:tblGrid>
      <w:tr>
        <w:trPr>
          <w:jc w:val="center"/>
          <w:trHeight w:val="928"/>
        </w:trPr>
        <w:tc>
          <w:tcPr>
            <w:tcW w:w="62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标段</w:t>
            </w:r>
            <w:r/>
          </w:p>
        </w:tc>
        <w:tc>
          <w:tcPr>
            <w:tcW w:w="98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片区归属</w:t>
            </w:r>
            <w:r/>
          </w:p>
        </w:tc>
        <w:tc>
          <w:tcPr>
            <w:tcW w:w="221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绿地养护范围</w:t>
            </w:r>
            <w:r/>
          </w:p>
        </w:tc>
        <w:tc>
          <w:tcPr>
            <w:tcW w:w="145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养护等级</w:t>
            </w:r>
            <w:r/>
          </w:p>
        </w:tc>
        <w:tc>
          <w:tcPr>
            <w:tcW w:w="1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t xml:space="preserve">最高限价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元）</w:t>
            </w:r>
            <w:r/>
          </w:p>
        </w:tc>
        <w:tc>
          <w:tcPr>
            <w:tcW w:w="22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养护期</w:t>
            </w:r>
            <w:r/>
          </w:p>
        </w:tc>
      </w:tr>
      <w:tr>
        <w:trPr>
          <w:jc w:val="center"/>
          <w:trHeight w:val="432"/>
        </w:trPr>
        <w:tc>
          <w:tcPr>
            <w:tcW w:w="628"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w:t>
            </w:r>
            <w:r/>
          </w:p>
        </w:tc>
        <w:tc>
          <w:tcPr>
            <w:tcW w:w="988"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埒</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w:t>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北华路（稻香路－太湖大道）</w:t>
            </w:r>
            <w:r/>
          </w:p>
        </w:tc>
        <w:tc>
          <w:tcPr>
            <w:tcW w:w="1455"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53518.53</w:t>
            </w:r>
            <w:r/>
          </w:p>
        </w:tc>
        <w:tc>
          <w:tcPr>
            <w:tcW w:w="2227"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年8月1日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年7月31日</w:t>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产山新村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10011.9</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二轻宿舍</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2808.01</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广电路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3884.96</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荷叶新村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32736.69</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华晶游园</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21099.71</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机床新村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28724.86</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蠡成村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12356.72</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粮科宿舍</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11840.13</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青山东路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28537.43</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青山二村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6295.87</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青山西路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21072.17</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青山一村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75581.59</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青山支路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9367.35</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青松新村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32671.95</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荣院宿舍</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19300.94</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胜利新村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22624.50</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水秀、稻香新村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269024.26</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440" w:lineRule="exact"/>
              <w:widowControl w:val="off"/>
              <w:rPr>
                <w:rFonts w:hint="eastAsia"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水秀游园</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77532.58</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孙蒋新村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19372.37</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孙乔路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7494.28</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溪北新村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45644.31</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政法路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28426.53</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3"/>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466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小计</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839928</w:t>
            </w:r>
            <w:r/>
          </w:p>
        </w:tc>
        <w:tc>
          <w:tcPr>
            <w:tcW w:w="222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段</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荣</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巷</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w:t>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118家舍</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12571.91</w:t>
            </w:r>
            <w:r/>
          </w:p>
        </w:tc>
        <w:tc>
          <w:tcPr>
            <w:tcW w:w="2227"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年8月1日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年7月31日</w:t>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蓓蕾新村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19205.79</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江大二村（梁溪路100号）</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5510.03</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江大新村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32254.70</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龙山路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86186.75</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青龙山支路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28962.92</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荣巷新村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25487.95</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孙巷大楼</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7811.10</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桃源新村（含东小区）</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60111.07</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望惠路</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39087</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许巷新村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27099.55</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郁巷新村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16824.09</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张巷新村</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12942.19</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1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中荣大楼</w:t>
            </w:r>
            <w:r/>
          </w:p>
        </w:tc>
        <w:tc>
          <w:tcPr>
            <w:tcW w:w="145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3263.35</w:t>
            </w:r>
            <w:r/>
          </w:p>
        </w:tc>
        <w:tc>
          <w:tcPr>
            <w:tcW w:w="2227"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2"/>
        </w:trPr>
        <w:tc>
          <w:tcPr>
            <w:tcW w:w="628" w:type="dxa"/>
            <w:vAlign w:val="center"/>
            <w:vMerge w:val="continue"/>
            <w:textDirection w:val="lrTb"/>
            <w:noWrap/>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4660"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377318</w:t>
            </w:r>
            <w:r/>
          </w:p>
        </w:tc>
        <w:tc>
          <w:tcPr>
            <w:tcW w:w="222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3"/>
        </w:trPr>
        <w:tc>
          <w:tcPr>
            <w:gridSpan w:val="4"/>
            <w:tcW w:w="528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  计</w:t>
            </w:r>
            <w:r/>
          </w:p>
        </w:tc>
        <w:tc>
          <w:tcPr>
            <w:tcW w:w="1662"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1217246</w:t>
            </w:r>
            <w:r/>
          </w:p>
        </w:tc>
        <w:tc>
          <w:tcPr>
            <w:tcW w:w="222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合同履行期限：与养护期限同步；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无锡市滨湖区城市管理局</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.本项目标的所属行业：其他未列明行业。根据《关于印发中小企业划型标准规定的通知》工信部联企业〔2011〕300</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，其他未列明行业：从业人员300人以下的为中小微型企业。其中，从业人员100人及以上的为中型企业；从业人员10人及以上的为小型企业；从业人员10</w:t>
      </w:r>
      <w:r>
        <w:rPr>
          <w:rFonts w:hint="eastAsia" w:ascii="宋体" w:hAnsi="宋体" w:eastAsia="宋体" w:cs="宋体"/>
          <w:color w:val="auto"/>
          <w:sz w:val="24"/>
          <w:szCs w:val="24"/>
          <w:highlight w:val="none"/>
        </w:rPr>
        <w:t xml:space="preserve">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11.本项目不接受联合体投标。</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投标供应商最多可以参加本次采购2个标段的投标，但中标只能中1个标段，由评分排名第一的供应商中标。评分排名均第一的情况下由投标供应商在投标文件中承诺优先中标标段。如某标段排名第一的供应商已经</w:t>
      </w:r>
      <w:r>
        <w:rPr>
          <w:rFonts w:hint="eastAsia" w:ascii="宋体" w:hAnsi="宋体" w:eastAsia="宋体" w:cs="宋体"/>
          <w:b/>
          <w:bCs/>
          <w:color w:val="auto"/>
          <w:sz w:val="24"/>
          <w:szCs w:val="24"/>
          <w:highlight w:val="none"/>
          <w:lang w:eastAsia="zh-CN"/>
        </w:rPr>
        <w:t xml:space="preserve">中标</w:t>
      </w:r>
      <w:r>
        <w:rPr>
          <w:rFonts w:hint="eastAsia" w:ascii="宋体" w:hAnsi="宋体" w:eastAsia="宋体" w:cs="宋体"/>
          <w:b/>
          <w:bCs/>
          <w:color w:val="auto"/>
          <w:sz w:val="24"/>
          <w:szCs w:val="24"/>
          <w:highlight w:val="none"/>
        </w:rPr>
        <w:t xml:space="preserve">其他标段，则该标段由排名第二的供应商中标，</w:t>
      </w:r>
      <w:r>
        <w:rPr>
          <w:rFonts w:hint="eastAsia" w:ascii="宋体" w:hAnsi="宋体" w:eastAsia="宋体" w:cs="宋体"/>
          <w:b/>
          <w:bCs/>
          <w:color w:val="auto"/>
          <w:sz w:val="24"/>
          <w:szCs w:val="24"/>
          <w:highlight w:val="none"/>
          <w:lang w:eastAsia="zh-CN"/>
        </w:rPr>
        <w:t xml:space="preserve">以此类推</w:t>
      </w:r>
      <w:r>
        <w:rPr>
          <w:rFonts w:hint="eastAsia" w:ascii="宋体" w:hAnsi="宋体" w:eastAsia="宋体" w:cs="宋体"/>
          <w:b/>
          <w:bCs/>
          <w:color w:val="auto"/>
          <w:sz w:val="24"/>
          <w:szCs w:val="24"/>
          <w:highlight w:val="none"/>
        </w:rPr>
        <w:t xml:space="preserve">。</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Cs/>
          <w:color w:val="auto"/>
          <w:sz w:val="24"/>
          <w:highlight w:val="none"/>
          <w:lang w:val="zh-CN" w:eastAsia="zh-CN"/>
        </w:rPr>
        <w:t xml:space="preserve">投标供应商应为中小微企业、监狱企业、残疾人福利性单位</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（1）未被“信用中国”网站列入失信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累计养护面积不得超过最大承养面积（高级工程师100万平方米，工程师50万平方米）</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授权委托人和项目负责人</w:t>
      </w:r>
      <w:r>
        <w:rPr>
          <w:rFonts w:hint="eastAsia" w:ascii="宋体" w:hAnsi="宋体" w:eastAsia="宋体" w:cs="宋体"/>
          <w:color w:val="auto"/>
          <w:sz w:val="24"/>
          <w:szCs w:val="24"/>
          <w:highlight w:val="none"/>
          <w:lang w:val="en-US" w:eastAsia="zh-CN"/>
        </w:rPr>
        <w:t xml:space="preserve">应投标供应商本单位在职员工；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）具有投资参股关系的关联企业，或具有直接管理和被管理关系的母子公司，或同一母公司的子公司，不得同时参与本项目投标。按获取采购文件时间只接受第一家投标供应商参与投标。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 xml:space="preserve">（1）访问“江苏政府采购网”</w:t>
      </w:r>
      <w:r>
        <w:rPr>
          <w:rFonts w:hint="eastAsia" w:ascii="宋体" w:hAnsi="宋体" w:eastAsia="宋体" w:cs="Times New Roman"/>
          <w:color w:val="auto"/>
          <w:sz w:val="24"/>
          <w:szCs w:val="24"/>
          <w:highlight w:val="none"/>
          <w:lang w:eastAsia="zh-CN"/>
        </w:rPr>
        <w:t xml:space="preserve">，点击</w:t>
      </w:r>
      <w:r>
        <w:rPr>
          <w:rFonts w:hint="eastAsia" w:ascii="宋体" w:hAnsi="宋体" w:eastAsia="宋体" w:cs="Times New Roman"/>
          <w:color w:val="auto"/>
          <w:sz w:val="24"/>
          <w:szCs w:val="24"/>
          <w:highlight w:val="none"/>
        </w:rPr>
        <w:t xml:space="preserve">“苏采云”进行账号注册，注册完成后需在系统中填写资质信息并提交审核。也可以直接通过http://jszfcg.jsczt.cn/进入注册界面。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w:t>
      </w:r>
      <w:r>
        <w:rPr>
          <w:rFonts w:hint="eastAsia" w:ascii="宋体" w:hAnsi="宋体" w:eastAsia="宋体" w:cs="Times New Roman"/>
          <w:color w:val="auto"/>
          <w:sz w:val="24"/>
          <w:szCs w:val="24"/>
          <w:highlight w:val="none"/>
        </w:rPr>
        <w:t xml:space="preserve">无锡市滨湖区观山路199号12号楼</w:t>
      </w:r>
      <w:r>
        <w:rPr>
          <w:rFonts w:hint="eastAsia" w:ascii="宋体" w:hAnsi="宋体" w:eastAsia="宋体" w:cs="Times New Roman"/>
          <w:color w:val="auto"/>
          <w:sz w:val="24"/>
          <w:szCs w:val="24"/>
          <w:highlight w:val="none"/>
          <w:lang w:val="en-US" w:eastAsia="zh-CN"/>
        </w:rPr>
        <w:t xml:space="preserve">一楼</w:t>
      </w:r>
      <w:r>
        <w:rPr>
          <w:rFonts w:hint="eastAsia" w:ascii="宋体" w:hAnsi="宋体" w:eastAsia="宋体" w:cs="Times New Roman"/>
          <w:color w:val="auto"/>
          <w:sz w:val="24"/>
          <w:szCs w:val="24"/>
          <w:highlight w:val="none"/>
        </w:rPr>
        <w:t xml:space="preserve">窗口</w:t>
      </w:r>
      <w:r>
        <w:rPr>
          <w:rFonts w:hint="eastAsia" w:ascii="宋体" w:hAnsi="宋体" w:eastAsia="宋体" w:cs="宋体"/>
          <w:bCs/>
          <w:color w:val="auto"/>
          <w:sz w:val="24"/>
          <w:szCs w:val="24"/>
          <w:highlight w:val="none"/>
        </w:rPr>
        <w:t xml:space="preserve">），办理指南链接：http://jsxcmm.com/help/help.html。</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在“江苏省政府采购（苏采云）平台”账号登录页面，点击“驱动下载”链接中的“政务CA、方正签章控件驱动安装包及安装说明”</w:t>
      </w:r>
      <w:r>
        <w:rPr>
          <w:rFonts w:hint="eastAsia" w:ascii="宋体" w:hAnsi="宋体" w:eastAsia="宋体" w:cs="宋体"/>
          <w:bCs/>
          <w:color w:val="auto"/>
          <w:sz w:val="24"/>
          <w:szCs w:val="24"/>
          <w:highlight w:val="none"/>
          <w:lang w:eastAsia="zh-CN"/>
        </w:rPr>
        <w:t xml:space="preserve">，可</w:t>
      </w:r>
      <w:r>
        <w:rPr>
          <w:rFonts w:hint="eastAsia" w:ascii="宋体" w:hAnsi="宋体" w:eastAsia="宋体" w:cs="宋体"/>
          <w:bCs/>
          <w:color w:val="auto"/>
          <w:sz w:val="24"/>
          <w:szCs w:val="24"/>
          <w:highlight w:val="none"/>
        </w:rPr>
        <w:t xml:space="preserve">直接下载驱动安装包，安装包中附有驱动安装手册。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"http://cz.wuxi.gov.cn/doc/2023/10/11/4080287.shtml" \t "_blank" </w:instrText>
      </w:r>
      <w:r>
        <w:rPr>
          <w:rFonts w:ascii="Times New Roman" w:hAnsi="Times New Roman" w:eastAsia="宋体" w:cs="Times New Roman"/>
          <w:color w:val="auto"/>
          <w:highlight w:val="none"/>
        </w:rPr>
        <w:fldChar w:fldCharType="separate"/>
      </w:r>
      <w:r>
        <w:rPr>
          <w:rFonts w:hint="eastAsia" w:ascii="宋体" w:hAnsi="宋体" w:eastAsia="宋体" w:cs="宋体"/>
          <w:bCs/>
          <w:color w:val="auto"/>
          <w:sz w:val="24"/>
          <w:szCs w:val="24"/>
          <w:highlight w:val="none"/>
        </w:rPr>
        <w:t xml:space="preserve">“苏采云”系统投标供应商操作手册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hint="eastAsia" w:ascii="Times New Roman" w:hAnsi="Times New Roman" w:eastAsia="黑体" w:cs="Times New Roman"/>
          <w:bCs/>
          <w:color w:val="auto"/>
          <w:sz w:val="24"/>
          <w:szCs w:val="24"/>
          <w:highlight w:val="none"/>
          <w:lang w:eastAsia="zh-CN"/>
        </w:rPr>
      </w:pPr>
      <w:r>
        <w:rPr>
          <w:rFonts w:ascii="Times New Roman" w:hAnsi="Times New Roman" w:eastAsia="黑体" w:cs="Times New Roman"/>
          <w:bCs/>
          <w:color w:val="auto"/>
          <w:sz w:val="24"/>
          <w:szCs w:val="24"/>
          <w:highlight w:val="none"/>
        </w:rPr>
        <w:t xml:space="preserve">（四）完成项目报名，获取</w:t>
      </w:r>
      <w:r>
        <w:rPr>
          <w:rFonts w:hint="eastAsia" w:ascii="Times New Roman" w:hAnsi="Times New Roman" w:eastAsia="黑体" w:cs="Times New Roman"/>
          <w:bCs/>
          <w:color w:val="auto"/>
          <w:sz w:val="24"/>
          <w:szCs w:val="24"/>
          <w:highlight w:val="none"/>
          <w:lang w:eastAsia="zh-CN"/>
        </w:rPr>
        <w:t xml:space="preserve">采购文件：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1.潜在投标供应商可在项目招标公告附件中查看公开</w:t>
      </w:r>
      <w:r>
        <w:rPr>
          <w:rFonts w:hint="eastAsia" w:ascii="宋体" w:hAnsi="宋体" w:eastAsia="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如确定投标，必须在苏采云平台（</w:t>
      </w:r>
      <w:r>
        <w:rPr>
          <w:rFonts w:hint="eastAsia" w:ascii="宋体" w:hAnsi="宋体" w:cs="Times New Roman"/>
          <w:bCs/>
          <w:color w:val="auto"/>
          <w:sz w:val="24"/>
          <w:szCs w:val="24"/>
          <w:highlight w:val="none"/>
          <w:lang w:eastAsia="zh-CN"/>
        </w:rPr>
        <w:t xml:space="preserve">http://jszfcg.jsczt.cn/jszc/login</w:t>
      </w:r>
      <w:r>
        <w:rPr>
          <w:rFonts w:hint="eastAsia" w:ascii="宋体" w:hAnsi="宋体" w:eastAsia="宋体" w:cs="Times New Roman"/>
          <w:bCs/>
          <w:color w:val="auto"/>
          <w:sz w:val="24"/>
          <w:szCs w:val="24"/>
          <w:highlight w:val="none"/>
        </w:rPr>
        <w:t xml:space="preserve">）中免费下载公开</w:t>
      </w:r>
      <w:r>
        <w:rPr>
          <w:rFonts w:hint="eastAsia" w:ascii="宋体" w:hAnsi="宋体" w:eastAsia="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（“江苏政府采购网”</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“苏采云”或“政府采购客户端</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苏采云</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”中免费下载文件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“项目参与”</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找到需要获取</w:t>
      </w:r>
      <w:r>
        <w:rPr>
          <w:rFonts w:hint="eastAsia" w:ascii="宋体" w:hAnsi="宋体" w:eastAsia="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的项目，点击“我要参与”</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“参与投标”</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“下载文件”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，完成项目报名</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将苏采云平台中下载的</w:t>
      </w:r>
      <w:r>
        <w:rPr>
          <w:rFonts w:hint="eastAsia" w:ascii="宋体" w:hAnsi="宋体" w:eastAsia="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（后缀名为“.kedt”）导入到“政府采购客户端”，离线按要求编制并加密投标文件（使用“CA数字证书”），导出加密的投标文件（后缀名为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zip</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，不得超过150M）</w:t>
      </w:r>
      <w:r>
        <w:rPr>
          <w:rFonts w:hint="eastAsia" w:ascii="宋体" w:hAnsi="宋体" w:eastAsia="宋体" w:cs="Times New Roman"/>
          <w:bCs/>
          <w:color w:val="auto"/>
          <w:sz w:val="24"/>
          <w:szCs w:val="24"/>
          <w:highlight w:val="none"/>
          <w:lang w:eastAsia="zh-CN"/>
        </w:rPr>
        <w:t xml:space="preserve">，并</w:t>
      </w:r>
      <w:r>
        <w:rPr>
          <w:rFonts w:hint="eastAsia" w:ascii="宋体" w:hAnsi="宋体" w:eastAsia="宋体" w:cs="Times New Roman"/>
          <w:bCs/>
          <w:color w:val="auto"/>
          <w:sz w:val="24"/>
          <w:szCs w:val="24"/>
          <w:highlight w:val="none"/>
        </w:rPr>
        <w:t xml:space="preserve">在苏采云平台上传该加密的投标文件，对</w:t>
      </w:r>
      <w:r>
        <w:rPr>
          <w:rFonts w:hint="eastAsia" w:ascii="宋体" w:hAnsi="宋体" w:eastAsia="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各项内容做出实质性响应，否则其投标文件无效。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（后缀名为“.kedt”）、“苏采云”系统供应商操作手册及政府采购客户端工具也可通过“苏采云”系统</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已参与项目</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3.政府采购客户端工具及“苏采云”系统供应商操作手册可</w:t>
      </w:r>
      <w:r>
        <w:rPr>
          <w:rFonts w:hint="eastAsia" w:ascii="宋体" w:hAnsi="宋体" w:eastAsia="宋体" w:cs="Times New Roman"/>
          <w:bCs/>
          <w:color w:val="auto"/>
          <w:sz w:val="24"/>
          <w:szCs w:val="24"/>
          <w:highlight w:val="none"/>
          <w:lang w:eastAsia="zh-CN"/>
        </w:rPr>
        <w:t xml:space="preserve">通过访</w:t>
      </w:r>
      <w:r>
        <w:rPr>
          <w:rFonts w:hint="eastAsia" w:ascii="宋体" w:hAnsi="宋体" w:eastAsia="宋体" w:cs="Times New Roman"/>
          <w:bCs/>
          <w:color w:val="auto"/>
          <w:sz w:val="24"/>
          <w:szCs w:val="24"/>
          <w:highlight w:val="none"/>
        </w:rPr>
        <w:t xml:space="preserve">问江苏政府采购网</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办事指南</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“资料下载”进行下载《“苏采云”系统供应商操作手册及政府采购客户端工具》</w:t>
      </w:r>
      <w:r>
        <w:rPr>
          <w:rFonts w:hint="eastAsia" w:ascii="宋体" w:hAnsi="宋体" w:eastAsia="宋体" w:cs="Times New Roman"/>
          <w:bCs/>
          <w:color w:val="auto"/>
          <w:sz w:val="24"/>
          <w:szCs w:val="24"/>
          <w:highlight w:val="none"/>
          <w:lang w:eastAsia="zh-CN"/>
        </w:rPr>
        <w:t xml:space="preserve">，也</w:t>
      </w:r>
      <w:r>
        <w:rPr>
          <w:rFonts w:hint="eastAsia" w:ascii="宋体" w:hAnsi="宋体" w:eastAsia="宋体" w:cs="Times New Roman"/>
          <w:bCs/>
          <w:color w:val="auto"/>
          <w:sz w:val="24"/>
          <w:szCs w:val="24"/>
          <w:highlight w:val="none"/>
        </w:rPr>
        <w:t xml:space="preserve">可至无锡政府采购网</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资料下载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北京中昌工程咨询有限公司</w:t>
      </w:r>
      <w:r>
        <w:rPr>
          <w:rFonts w:hint="eastAsia" w:ascii="宋体" w:hAnsi="宋体" w:eastAsia="宋体" w:cs="宋体"/>
          <w:bCs/>
          <w:color w:val="auto"/>
          <w:sz w:val="24"/>
          <w:szCs w:val="24"/>
          <w:highlight w:val="none"/>
        </w:rPr>
        <w:t xml:space="preserve">将以线上不见面、电话咨询、传真等方式开展线上答疑服务。</w:t>
      </w:r>
      <w:r>
        <w:rPr>
          <w:rFonts w:hint="eastAsia" w:ascii="宋体" w:hAnsi="宋体" w:cs="宋体"/>
          <w:bCs/>
          <w:color w:val="auto"/>
          <w:sz w:val="24"/>
          <w:szCs w:val="24"/>
          <w:highlight w:val="none"/>
          <w:lang w:eastAsia="zh-CN"/>
        </w:rPr>
        <w:t xml:space="preserve">截至</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JSZC-320211-BJZC-G2026-0007</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hint="eastAsia" w:eastAsia="黑体"/>
          <w:color w:val="auto"/>
          <w:sz w:val="24"/>
          <w:szCs w:val="24"/>
          <w:highlight w:val="none"/>
          <w:lang w:val="en-US" w:eastAsia="zh-CN"/>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投标及开标地点：线上投标。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无锡市滨湖区城市管理局</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采购人地址：无锡市金城西路500号</w:t>
      </w:r>
      <w:r/>
    </w:p>
    <w:p>
      <w:pPr>
        <w:pStyle w:val="976"/>
        <w:ind w:firstLine="480"/>
        <w:spacing w:before="0" w:beforeAutospacing="0" w:after="0" w:afterAutospacing="0" w:line="460" w:lineRule="exact"/>
        <w:tabs>
          <w:tab w:val="left" w:pos="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联系人：</w:t>
      </w:r>
      <w:r>
        <w:rPr>
          <w:rFonts w:hint="eastAsia" w:ascii="宋体" w:hAnsi="宋体" w:eastAsia="宋体" w:cs="宋体"/>
          <w:color w:val="auto"/>
          <w:highlight w:val="none"/>
          <w:lang w:val="en-US" w:eastAsia="zh-CN"/>
        </w:rPr>
        <w:t xml:space="preserve">王霞</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联系电话：0510-8117841</w:t>
      </w:r>
      <w:r>
        <w:rPr>
          <w:rFonts w:hint="eastAsia" w:ascii="宋体" w:hAnsi="宋体" w:eastAsia="宋体" w:cs="宋体"/>
          <w:color w:val="auto"/>
          <w:highlight w:val="none"/>
          <w:lang w:val="en-US" w:eastAsia="zh-CN"/>
        </w:rPr>
        <w:t xml:space="preserve">0</w:t>
      </w:r>
      <w:r/>
    </w:p>
    <w:p>
      <w:pPr>
        <w:pStyle w:val="976"/>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采购代理机构：北京中昌工程咨询有限公司</w:t>
      </w:r>
      <w:r/>
    </w:p>
    <w:p>
      <w:pPr>
        <w:ind w:firstLine="48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w:t>
      </w:r>
      <w:r>
        <w:rPr>
          <w:rFonts w:hint="eastAsia" w:ascii="宋体" w:hAnsi="宋体" w:cs="宋体"/>
          <w:color w:val="auto"/>
          <w:highlight w:val="none"/>
        </w:rPr>
        <w:t xml:space="preserve">91110105633731727Q</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联系人：</w:t>
      </w:r>
      <w:r>
        <w:rPr>
          <w:rFonts w:hint="eastAsia" w:cs="宋体"/>
          <w:color w:val="auto"/>
          <w:highlight w:val="none"/>
          <w:lang w:val="zh-CN" w:eastAsia="zh-CN"/>
        </w:rPr>
        <w:t xml:space="preserve">薛雨蕙</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15251502815</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无锡市梁溪区南湖大道501号扬名创智园H座2楼</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76"/>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HYPERLINK "mailto:jszh009@163.com" </w:instrText>
      </w:r>
      <w:r>
        <w:rPr>
          <w:rFonts w:hint="eastAsia" w:ascii="宋体" w:hAnsi="宋体" w:eastAsia="宋体" w:cs="宋体"/>
          <w:color w:val="auto"/>
          <w:highlight w:val="none"/>
          <w:lang w:val="zh-CN"/>
        </w:rPr>
        <w:fldChar w:fldCharType="separate"/>
      </w:r>
      <w:r>
        <w:rPr>
          <w:rFonts w:hint="eastAsia" w:cs="宋体"/>
          <w:color w:val="auto"/>
          <w:highlight w:val="none"/>
          <w:lang w:val="zh-CN" w:eastAsia="zh-CN"/>
        </w:rPr>
        <w:t xml:space="preserve">bjzc520@163.com</w:t>
      </w:r>
      <w:r>
        <w:rPr>
          <w:rFonts w:hint="eastAsia" w:ascii="宋体" w:hAnsi="宋体" w:eastAsia="宋体" w:cs="宋体"/>
          <w:color w:val="auto"/>
          <w:highlight w:val="none"/>
          <w:lang w:val="zh-CN"/>
        </w:rPr>
        <w:fldChar w:fldCharType="end"/>
      </w:r>
      <w:r/>
    </w:p>
    <w:p>
      <w:pPr>
        <w:pStyle w:val="976"/>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hint="eastAsia" w:ascii="Times New Roman" w:hAnsi="Times New Roman" w:eastAsia="黑体"/>
          <w:bCs/>
          <w:color w:val="auto"/>
          <w:highlight w:val="none"/>
          <w:lang w:val="en-US" w:eastAsia="zh-CN"/>
        </w:rPr>
        <w:t xml:space="preserve">其他</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76"/>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3" w:name="_Toc22870"/>
      <w:r/>
      <w:bookmarkStart w:id="4" w:name="_Toc24874"/>
      <w:r>
        <w:rPr>
          <w:rFonts w:ascii="Times New Roman" w:hAnsi="Times New Roman" w:eastAsia="黑体"/>
          <w:bCs/>
          <w:color w:val="auto"/>
          <w:sz w:val="28"/>
          <w:szCs w:val="28"/>
          <w:highlight w:val="none"/>
        </w:rPr>
        <w:t xml:space="preserve">二</w:t>
      </w:r>
      <w:r>
        <w:rPr>
          <w:rFonts w:hint="eastAsia" w:ascii="Times New Roman" w:hAnsi="Times New Roman" w:eastAsia="黑体"/>
          <w:bCs/>
          <w:color w:val="auto"/>
          <w:sz w:val="28"/>
          <w:szCs w:val="28"/>
          <w:highlight w:val="none"/>
          <w:lang w:eastAsia="zh-CN"/>
        </w:rPr>
        <w:t xml:space="preserve">、</w:t>
      </w:r>
      <w:r>
        <w:rPr>
          <w:rFonts w:ascii="Times New Roman" w:hAnsi="Times New Roman" w:eastAsia="黑体"/>
          <w:bCs/>
          <w:color w:val="auto"/>
          <w:sz w:val="28"/>
          <w:szCs w:val="28"/>
          <w:highlight w:val="none"/>
        </w:rPr>
        <w:t xml:space="preserve">投标供应商须知</w:t>
      </w:r>
      <w:bookmarkEnd w:id="3"/>
      <w:r/>
      <w:bookmarkEnd w:id="4"/>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eastAsia="宋体" w:cs="宋体"/>
          <w:bCs/>
          <w:color w:val="auto"/>
          <w:sz w:val="24"/>
          <w:szCs w:val="24"/>
          <w:highlight w:val="none"/>
        </w:rPr>
        <w:t xml:space="preserve">）下载招标文件及有关资料，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北京中昌工程咨询有限公司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北京中昌工程咨询有限公司</w:t>
      </w:r>
      <w:r>
        <w:rPr>
          <w:rFonts w:hint="eastAsia" w:ascii="宋体" w:hAnsi="宋体" w:eastAsia="宋体" w:cs="宋体"/>
          <w:bCs/>
          <w:color w:val="auto"/>
          <w:sz w:val="24"/>
          <w:szCs w:val="24"/>
          <w:highlight w:val="none"/>
        </w:rPr>
        <w:t xml:space="preserve">将在</w:t>
      </w:r>
      <w:r>
        <w:rPr>
          <w:rFonts w:hint="eastAsia" w:ascii="宋体" w:hAnsi="宋体" w:eastAsia="宋体" w:cs="宋体"/>
          <w:bCs/>
          <w:color w:val="auto"/>
          <w:sz w:val="24"/>
          <w:szCs w:val="24"/>
          <w:highlight w:val="none"/>
          <w:lang w:eastAsia="zh-CN"/>
        </w:rPr>
        <w:t xml:space="preserve">中国政府采购网、江苏政府采购网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北京中昌工程咨询有限公司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北京中昌工程咨询有限公司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hint="eastAsia" w:eastAsia="黑体"/>
          <w:bCs/>
          <w:color w:val="auto"/>
          <w:sz w:val="24"/>
          <w:szCs w:val="24"/>
          <w:highlight w:val="none"/>
          <w:lang w:val="en-US" w:eastAsia="zh-CN"/>
        </w:rPr>
      </w:pPr>
      <w:r>
        <w:rPr>
          <w:rFonts w:eastAsia="黑体"/>
          <w:bCs/>
          <w:color w:val="auto"/>
          <w:sz w:val="24"/>
          <w:szCs w:val="24"/>
          <w:highlight w:val="none"/>
        </w:rPr>
        <w:t xml:space="preserve">（五）质疑与投诉</w:t>
      </w:r>
      <w:r>
        <w:rPr>
          <w:rFonts w:hint="eastAsia" w:eastAsia="黑体"/>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法定质疑期内一次性提出针对同一采购程序环节的质疑。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eastAsia="宋体" w:cs="宋体"/>
          <w:bCs/>
          <w:color w:val="auto"/>
          <w:sz w:val="24"/>
          <w:szCs w:val="24"/>
          <w:highlight w:val="none"/>
          <w:lang w:eastAsia="zh-CN"/>
        </w:rPr>
        <w:t xml:space="preserve">北京中昌工程咨询有限公司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无锡市梁溪区南湖大道501号扬名创智园H座2楼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薛雨蕙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15251502815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08"/>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1008"/>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具有独立承担民事责任能力的投标供应商营业执照或相关部门的登记证明文件（投标供应商如是</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w:t>
      </w:r>
      <w:r>
        <w:rPr>
          <w:rFonts w:hint="eastAsia" w:ascii="宋体" w:hAnsi="宋体" w:cs="宋体"/>
          <w:bCs/>
          <w:color w:val="auto"/>
          <w:sz w:val="24"/>
          <w:szCs w:val="24"/>
          <w:highlight w:val="none"/>
          <w:lang w:val="en-US" w:eastAsia="zh-CN"/>
        </w:rPr>
        <w:t xml:space="preserve">项目负责人及</w:t>
      </w:r>
      <w:r>
        <w:rPr>
          <w:bCs/>
          <w:color w:val="auto"/>
          <w:sz w:val="24"/>
          <w:szCs w:val="24"/>
          <w:highlight w:val="none"/>
        </w:rPr>
        <w:t xml:space="preserve">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近两年（2024年或2025年）中任意一年度</w:t>
      </w:r>
      <w:r>
        <w:rPr>
          <w:bCs/>
          <w:color w:val="auto"/>
          <w:sz w:val="24"/>
          <w:szCs w:val="24"/>
          <w:highlight w:val="none"/>
        </w:rPr>
        <w:t xml:space="preserve">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rPr>
          <w:rFonts w:hint="eastAsia"/>
          <w:bCs/>
          <w:color w:val="auto"/>
          <w:sz w:val="24"/>
          <w:szCs w:val="24"/>
          <w:highlight w:val="none"/>
          <w:lang w:eastAsia="zh-CN"/>
        </w:rPr>
        <w:t xml:space="preserve">；</w:t>
      </w:r>
      <w:r/>
    </w:p>
    <w:p>
      <w:pPr>
        <w:numPr>
          <w:ilvl w:val="1"/>
          <w:numId w:val="5"/>
        </w:numPr>
        <w:ind w:left="0" w:firstLine="523"/>
        <w:spacing w:line="360" w:lineRule="auto"/>
        <w:tabs>
          <w:tab w:val="left" w:pos="945" w:leader="none"/>
          <w:tab w:val="left" w:pos="1276" w:leader="none"/>
        </w:tabs>
        <w:rPr>
          <w:color w:val="auto"/>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承诺书（</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bCs/>
          <w:color w:val="auto"/>
          <w:sz w:val="24"/>
          <w:szCs w:val="24"/>
          <w:highlight w:val="none"/>
        </w:rPr>
      </w:pPr>
      <w:r>
        <w:rPr>
          <w:rFonts w:hint="eastAsia"/>
          <w:bCs/>
          <w:color w:val="auto"/>
          <w:sz w:val="24"/>
          <w:szCs w:val="24"/>
          <w:highlight w:val="none"/>
        </w:rPr>
        <w:t xml:space="preserve">投标（响应）保证承诺书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color w:val="auto"/>
          <w:sz w:val="24"/>
          <w:highlight w:val="none"/>
          <w:lang w:eastAsia="zh-CN"/>
        </w:rPr>
        <w:t xml:space="preserve">投标函</w:t>
      </w:r>
      <w:r>
        <w:rPr>
          <w:rFonts w:hint="eastAsia" w:ascii="宋体" w:hAnsi="宋体"/>
          <w:b/>
          <w:color w:val="auto"/>
          <w:sz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报价部分</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（1）投标报价汇总表（格式见附件）</w:t>
      </w:r>
      <w:r/>
    </w:p>
    <w:p>
      <w:pPr>
        <w:numPr>
          <w:ilvl w:val="0"/>
          <w:numId w:val="0"/>
        </w:numPr>
        <w:ind w:left="524"/>
        <w:spacing w:line="360" w:lineRule="auto"/>
        <w:tabs>
          <w:tab w:val="left" w:pos="525" w:leader="none"/>
          <w:tab w:val="left" w:pos="945" w:leader="none"/>
        </w:tabs>
        <w:rPr>
          <w:rFonts w:hint="eastAsia"/>
          <w:color w:val="auto"/>
          <w:highlight w:val="none"/>
          <w:lang w:val="en-US" w:eastAsia="zh-CN"/>
        </w:rPr>
      </w:pPr>
      <w:r>
        <w:rPr>
          <w:rFonts w:hint="eastAsia" w:ascii="宋体" w:hAnsi="宋体" w:cs="宋体"/>
          <w:bCs/>
          <w:color w:val="auto"/>
          <w:sz w:val="24"/>
          <w:szCs w:val="24"/>
          <w:highlight w:val="none"/>
          <w:lang w:val="en-US" w:eastAsia="zh-CN"/>
        </w:rPr>
        <w:t xml:space="preserve">（2）报价合理性分析表（格式见附件）</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（3）投标报价表（格式见附件）：</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1）投标总价（表1）</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2）单项工程投标报价汇总表（表2）</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3）单位工程投标报价汇总表（表3）</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4）分部分项工程和单价措施项目清单与计价表（表4）</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5）综合单价分析表（表5）</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6）总价措施项目清单与计价表（表6）</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7）其他项目清单与计价汇总表（表7）</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8）暂列金额明细表（表8）</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9）材料（工程设备）暂估单价及调整表（表9）</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10）专业工程暂估价及结算价表（表10）</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11）计日工表（表11）</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12）总承包服务费计价表（表12）</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13）规费、税金项目计价表（表13）</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14）发包人提供材料和工程设备一览表（表14）</w:t>
      </w:r>
      <w:r/>
    </w:p>
    <w:p>
      <w:pPr>
        <w:numPr>
          <w:ilvl w:val="0"/>
          <w:numId w:val="0"/>
        </w:numPr>
        <w:ind w:left="524"/>
        <w:spacing w:line="360" w:lineRule="auto"/>
        <w:tabs>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15）承包人提供主要材料和工程设备一览表（表15）</w:t>
      </w:r>
      <w:r/>
    </w:p>
    <w:p>
      <w:pPr>
        <w:numPr>
          <w:ilvl w:val="0"/>
          <w:numId w:val="0"/>
        </w:numPr>
        <w:ind w:left="524"/>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16）明细报价表（表16）</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color w:val="auto"/>
          <w:sz w:val="24"/>
          <w:highlight w:val="none"/>
        </w:rPr>
        <w:t xml:space="preserve">项目负责人简历表（格式见附件）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color w:val="auto"/>
          <w:sz w:val="24"/>
          <w:highlight w:val="none"/>
        </w:rPr>
        <w:t xml:space="preserve">投入的主要车辆明细表（格式见附件）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color w:val="auto"/>
          <w:sz w:val="24"/>
          <w:highlight w:val="none"/>
        </w:rPr>
        <w:t xml:space="preserve">主要机械设备表（格式见附件）</w:t>
      </w:r>
      <w:r/>
    </w:p>
    <w:p>
      <w:pPr>
        <w:numPr>
          <w:ilvl w:val="0"/>
          <w:numId w:val="5"/>
        </w:numPr>
        <w:ind w:left="1" w:firstLine="523"/>
        <w:spacing w:line="360" w:lineRule="auto"/>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偏离表（格式见附件）</w:t>
      </w:r>
      <w:r/>
    </w:p>
    <w:p>
      <w:pPr>
        <w:numPr>
          <w:ilvl w:val="0"/>
          <w:numId w:val="5"/>
        </w:numPr>
        <w:ind w:left="1" w:firstLine="523"/>
        <w:spacing w:line="360" w:lineRule="auto"/>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养护作业人员投入计划一览表</w:t>
      </w:r>
      <w:r>
        <w:rPr>
          <w:rFonts w:hint="eastAsia" w:ascii="宋体" w:hAnsi="宋体" w:eastAsia="宋体" w:cs="宋体"/>
          <w:color w:val="auto"/>
          <w:sz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bCs/>
          <w:color w:val="auto"/>
          <w:sz w:val="24"/>
          <w:szCs w:val="24"/>
          <w:highlight w:val="none"/>
        </w:rPr>
        <w:t xml:space="preserve">中小企业声明函（投标供应商为中小企业的，格式见附件）</w:t>
      </w:r>
      <w:r>
        <w:rPr>
          <w:rFonts w:hint="eastAsia"/>
          <w:bCs/>
          <w:color w:val="auto"/>
          <w:sz w:val="24"/>
          <w:szCs w:val="24"/>
          <w:highlight w:val="none"/>
          <w:lang w:val="en-US" w:eastAsia="zh-CN"/>
        </w:rPr>
        <w:t xml:space="preserve">或省级以上监狱管理局、戒毒管理局（含新疆生产建设兵团）出具的属于监狱企业的证明文件（供应商为监狱企业的必须提供）或</w:t>
      </w:r>
      <w:r>
        <w:rPr>
          <w:rFonts w:hint="eastAsia" w:ascii="宋体" w:hAnsi="宋体" w:cs="宋体"/>
          <w:color w:val="auto"/>
          <w:sz w:val="24"/>
          <w:highlight w:val="none"/>
        </w:rPr>
        <w:t xml:space="preserve">残疾人福利性单位声明函（供应商为残疾人福利性单位的必须提供，格式见附件）</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rFonts w:hint="default"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rPr>
        <w:t xml:space="preserve">评分标准中对应的</w:t>
      </w:r>
      <w:r>
        <w:rPr>
          <w:rFonts w:hint="eastAsia" w:ascii="Times New Roman" w:hAnsi="Times New Roman" w:eastAsia="宋体" w:cs="Times New Roman"/>
          <w:bCs/>
          <w:color w:val="auto"/>
          <w:sz w:val="24"/>
          <w:szCs w:val="24"/>
          <w:highlight w:val="none"/>
          <w:lang w:eastAsia="zh-CN"/>
        </w:rPr>
        <w:t xml:space="preserve">其他所需</w:t>
      </w:r>
      <w:r>
        <w:rPr>
          <w:rFonts w:ascii="Times New Roman" w:hAnsi="Times New Roman" w:eastAsia="宋体" w:cs="Times New Roman"/>
          <w:bCs/>
          <w:color w:val="auto"/>
          <w:sz w:val="24"/>
          <w:szCs w:val="24"/>
          <w:highlight w:val="none"/>
        </w:rPr>
        <w:t xml:space="preserve">证明材料（</w:t>
      </w:r>
      <w:r>
        <w:rPr>
          <w:rFonts w:ascii="Times New Roman" w:hAnsi="Times New Roman" w:eastAsia="宋体" w:cs="Times New Roman"/>
          <w:b/>
          <w:bCs/>
          <w:color w:val="auto"/>
          <w:sz w:val="24"/>
          <w:szCs w:val="24"/>
          <w:highlight w:val="none"/>
        </w:rPr>
        <w:t xml:space="preserve">如有自行添加</w:t>
      </w:r>
      <w:r>
        <w:rPr>
          <w:rFonts w:ascii="Times New Roman" w:hAnsi="Times New Roman" w:eastAsia="宋体" w:cs="Times New Roman"/>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bidi="ar-SA"/>
        </w:rPr>
        <w:t xml:space="preserve">中标标段优先顺序承诺函</w:t>
      </w:r>
      <w:r>
        <w:rPr>
          <w:rFonts w:hint="eastAsia" w:ascii="Times New Roman" w:hAnsi="Times New Roman" w:eastAsia="宋体" w:cs="Times New Roman"/>
          <w:b/>
          <w:bCs w:val="0"/>
          <w:color w:val="auto"/>
          <w:sz w:val="24"/>
          <w:szCs w:val="24"/>
          <w:highlight w:val="none"/>
          <w:lang w:val="en-US" w:eastAsia="zh-CN" w:bidi="ar-SA"/>
        </w:rPr>
        <w:t xml:space="preserve">（格式见附件）</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bCs/>
          <w:color w:val="auto"/>
          <w:sz w:val="24"/>
          <w:szCs w:val="24"/>
          <w:highlight w:val="none"/>
          <w:lang w:eastAsia="zh-CN"/>
        </w:rPr>
        <w:t xml:space="preserve">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w:t>
      </w:r>
      <w:r>
        <w:rPr>
          <w:rFonts w:hint="eastAsia" w:eastAsia="黑体"/>
          <w:bCs/>
          <w:color w:val="auto"/>
          <w:sz w:val="24"/>
          <w:szCs w:val="24"/>
          <w:highlight w:val="none"/>
        </w:rPr>
        <w:t xml:space="preserve">报价要求：</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1.本项目商务标内报价根据招标文件提供的主要设施量清单，以及有关规定并结合市场因素采取综合单价的形式报价。报价必须是唯一的，任何有选择的报价将不予接受。</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除非合同中另有规定，具有标价的设施量清单中所报的综合单价和合价，以及报价汇总表中的价格应包括完成本合同所需的设备、劳务、管理、材料、维护、利润、税金、政策性文件规定及合同包含的所有风险、责任等各项应有费用。</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3.设施量清单中的每一单项均需计算填写综合单价和合价</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单价精确到分，合价精确到元</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，投标供应商没有填写综合单价和合价的项目将不予支付，并认为此项费用已包括在设施量清单的其他综合单价和合价中。</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4.设施量清单中所提供的数量已经有关部门核定并纳入当年绿化养护计划，投标供应商按此投标。在合同实施过程中因项目管理单位养护范围的调整而产生设</w:t>
      </w:r>
      <w:r>
        <w:rPr>
          <w:rFonts w:hint="eastAsia" w:ascii="宋体" w:hAnsi="宋体" w:eastAsia="宋体" w:cs="宋体"/>
          <w:bCs/>
          <w:color w:val="auto"/>
          <w:sz w:val="24"/>
          <w:szCs w:val="24"/>
          <w:highlight w:val="none"/>
          <w:lang w:val="en-US" w:eastAsia="zh-CN" w:bidi="ar-SA"/>
        </w:rPr>
        <w:t xml:space="preserve">施量变更时，必须在有关部门审定后方可按时调整；因政府需要征用、改造、临时占用绿地或采购人管理需要，调整养护单位管护绿化范围和管护等级时，养护单位应按采购人要求退出原养护范围（地段）并相应减少养护范围及经费。由此造成的经济损失，采购人不负赔偿责任。采购人在合同实施期间进行每年乔木总量3%以内的调整（具体实施方案由采购人审定），养护单位组织实施，采购人不再另外增加相关费用。因采购人管理需要，要求养护单位就近新增失管绿地养护、空秃地补植累计面积分别不超过原中标绿地面积2%、1.5%的，采购人不再另外增加相关费用。</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合同期内，因4所述原因调整或改造的绿地面积超过该标段绿地总面积60%（含）以上，该标段应在绿化恢复后按新建绿地，重新通过招标确定新的中标供应商。调整或改造的绿地面积低于该标段招标面积60%（不含），改造恢复后的绿化按原中标单价重新计入该标段，仍由原中标单位负责养护，超过原合同价的由采购人根据相关规定另行协商确定。</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6.投标供应商应考虑到因政府管养政策改变的原因而发生的养护总持续期调整的可能，采购人不承担由此造成的经济和</w:t>
      </w:r>
      <w:r>
        <w:rPr>
          <w:rFonts w:hint="eastAsia" w:ascii="宋体" w:hAnsi="宋体" w:cs="宋体"/>
          <w:bCs/>
          <w:color w:val="auto"/>
          <w:sz w:val="24"/>
          <w:szCs w:val="24"/>
          <w:highlight w:val="none"/>
          <w:lang w:val="en-US" w:eastAsia="zh-CN" w:bidi="ar-SA"/>
        </w:rPr>
        <w:t xml:space="preserve">其他</w:t>
      </w:r>
      <w:r>
        <w:rPr>
          <w:rFonts w:hint="eastAsia" w:ascii="宋体" w:hAnsi="宋体" w:eastAsia="宋体" w:cs="宋体"/>
          <w:bCs/>
          <w:color w:val="auto"/>
          <w:sz w:val="24"/>
          <w:szCs w:val="24"/>
          <w:highlight w:val="none"/>
          <w:lang w:val="en-US" w:eastAsia="zh-CN" w:bidi="ar-SA"/>
        </w:rPr>
        <w:t xml:space="preserve">相关责任。</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7.除政策性调整因素之外，投标供应商所填写的综合单价在合同实施期间将不因市场变化因素而变动，投标供应商在计算报价时应考虑一定的风险系数。</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8.标底编制原则：</w:t>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（1）原则上依据苏建园</w:t>
      </w:r>
      <w:r>
        <w:rPr>
          <w:rFonts w:hint="eastAsia" w:ascii="宋体" w:hAnsi="宋体" w:cs="宋体"/>
          <w:b/>
          <w:bCs/>
          <w:color w:val="auto"/>
          <w:sz w:val="24"/>
          <w:szCs w:val="24"/>
          <w:highlight w:val="none"/>
          <w:lang w:eastAsia="zh-CN"/>
        </w:rPr>
        <w:t xml:space="preserve">〔2017〕196号</w:t>
      </w:r>
      <w:r>
        <w:rPr>
          <w:rFonts w:hint="eastAsia" w:ascii="宋体" w:hAnsi="宋体" w:cs="宋体"/>
          <w:b/>
          <w:bCs/>
          <w:color w:val="auto"/>
          <w:sz w:val="24"/>
          <w:szCs w:val="24"/>
          <w:highlight w:val="none"/>
        </w:rPr>
        <w:t xml:space="preserve">，省住房城乡建设厅关于发布《江苏省城市园林绿化养护管理计价定额》的通知、苏建函价〔2019〕178号省住房城乡建设厅关于调整建设工程计价增值税税率的通知、苏建函价〔2023〕63号《省住房城乡建设厅关于发布建设工程人工工资指导价的通知》</w:t>
      </w:r>
      <w:r>
        <w:rPr>
          <w:rFonts w:hint="eastAsia" w:ascii="宋体" w:hAnsi="宋体" w:cs="宋体"/>
          <w:color w:val="auto"/>
          <w:sz w:val="24"/>
          <w:szCs w:val="24"/>
          <w:highlight w:val="none"/>
        </w:rPr>
        <w:t xml:space="preserve">等文件执行。</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（2）园路、小品等绿化设施按招标绿地内园林小品保养维护按以下标准：木（铁）质材料每年不少于1次油漆，亭子等构建物面积（或表面积）用投影覆盖面积计算。</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9.养护费用</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养护</w:t>
      </w:r>
      <w:r>
        <w:rPr>
          <w:rFonts w:hint="eastAsia" w:ascii="宋体" w:hAnsi="宋体" w:cs="宋体"/>
          <w:bCs/>
          <w:color w:val="auto"/>
          <w:sz w:val="24"/>
          <w:szCs w:val="24"/>
          <w:highlight w:val="none"/>
          <w:lang w:val="en-US" w:eastAsia="zh-CN" w:bidi="ar-SA"/>
        </w:rPr>
        <w:t xml:space="preserve">费用</w:t>
      </w:r>
      <w:r>
        <w:rPr>
          <w:rFonts w:hint="eastAsia" w:ascii="宋体" w:hAnsi="宋体" w:eastAsia="宋体" w:cs="宋体"/>
          <w:bCs/>
          <w:color w:val="auto"/>
          <w:sz w:val="24"/>
          <w:szCs w:val="24"/>
          <w:highlight w:val="none"/>
          <w:lang w:val="en-US" w:eastAsia="zh-CN" w:bidi="ar-SA"/>
        </w:rPr>
        <w:t xml:space="preserve">包括绿地内苗木养护、绿地保洁及所有园路、小品、花坛（侧石）、护栏、雕塑、角亭及其它所有构建物等设施的日常保养和维修费用，投标单位须充分意识到标段内所有设施（包括统计或未统计在招标所提供的设施清单内）保养或维修可能带来的风险。</w:t>
      </w:r>
      <w:r/>
    </w:p>
    <w:p>
      <w:pPr>
        <w:numPr>
          <w:ilvl w:val="0"/>
          <w:numId w:val="0"/>
        </w:num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10.本项目适用于营改增后的一般计税方法。</w:t>
      </w:r>
      <w:r/>
    </w:p>
    <w:p>
      <w:pPr>
        <w:numPr>
          <w:ilvl w:val="0"/>
          <w:numId w:val="0"/>
        </w:numPr>
        <w:ind w:firstLine="480"/>
        <w:jc w:val="left"/>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en-US" w:eastAsia="zh-CN"/>
        </w:rPr>
        <w:t xml:space="preserve">11.</w:t>
      </w: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（八）投标文件的制作：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hint="eastAsia" w:eastAsia="黑体"/>
          <w:bCs/>
          <w:color w:val="auto"/>
          <w:sz w:val="24"/>
          <w:szCs w:val="24"/>
          <w:highlight w:val="none"/>
          <w:lang w:eastAsia="zh-CN"/>
        </w:rPr>
      </w:pPr>
      <w:r>
        <w:rPr>
          <w:rFonts w:eastAsia="黑体"/>
          <w:bCs/>
          <w:color w:val="auto"/>
          <w:sz w:val="24"/>
          <w:szCs w:val="24"/>
          <w:highlight w:val="none"/>
        </w:rPr>
        <w:t xml:space="preserve">（九）网上投标</w:t>
      </w:r>
      <w:r>
        <w:rPr>
          <w:rFonts w:hint="eastAsia" w:eastAsia="黑体"/>
          <w:bCs/>
          <w:color w:val="auto"/>
          <w:sz w:val="24"/>
          <w:szCs w:val="24"/>
          <w:highlight w:val="none"/>
          <w:lang w:eastAsia="zh-CN"/>
        </w:rPr>
        <w:t xml:space="preserve">：</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lang w:val="en-US" w:eastAsia="zh-CN"/>
        </w:rPr>
        <w:t xml:space="preserve">文件中</w:t>
      </w:r>
      <w:r>
        <w:rPr>
          <w:rFonts w:hint="eastAsia"/>
          <w:bCs/>
          <w:color w:val="auto"/>
          <w:sz w:val="24"/>
          <w:szCs w:val="24"/>
          <w:highlight w:val="none"/>
        </w:rPr>
        <w:t xml:space="preserve">技术文件暗标部分有体现投标人身份的内容</w:t>
      </w:r>
      <w:r>
        <w:rPr>
          <w:rFonts w:hint="eastAsia"/>
          <w:bCs/>
          <w:color w:val="auto"/>
          <w:sz w:val="24"/>
          <w:szCs w:val="24"/>
          <w:highlight w:val="none"/>
          <w:lang w:val="en-US" w:eastAsia="zh-CN"/>
        </w:rPr>
        <w:t xml:space="preserve">；</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
          <w:bCs w:val="0"/>
          <w:color w:val="auto"/>
          <w:sz w:val="24"/>
          <w:szCs w:val="24"/>
          <w:highlight w:val="none"/>
        </w:rPr>
      </w:pPr>
      <w:r>
        <w:rPr>
          <w:b/>
          <w:bCs w:val="0"/>
          <w:color w:val="auto"/>
          <w:sz w:val="24"/>
          <w:szCs w:val="24"/>
          <w:highlight w:val="none"/>
        </w:rPr>
        <w:t xml:space="preserve">项目（</w:t>
      </w:r>
      <w:r>
        <w:rPr>
          <w:rFonts w:hint="eastAsia"/>
          <w:b/>
          <w:bCs w:val="0"/>
          <w:color w:val="auto"/>
          <w:sz w:val="24"/>
          <w:szCs w:val="24"/>
          <w:highlight w:val="none"/>
          <w:lang w:val="en-US" w:eastAsia="zh-CN"/>
        </w:rPr>
        <w:t xml:space="preserve">各</w:t>
      </w:r>
      <w:r>
        <w:rPr>
          <w:b/>
          <w:bCs w:val="0"/>
          <w:color w:val="auto"/>
          <w:sz w:val="24"/>
          <w:szCs w:val="24"/>
          <w:highlight w:val="none"/>
        </w:rPr>
        <w:t xml:space="preserve">标段）</w:t>
      </w:r>
      <w:r>
        <w:rPr>
          <w:rFonts w:hint="eastAsia"/>
          <w:b/>
          <w:bCs w:val="0"/>
          <w:color w:val="auto"/>
          <w:sz w:val="24"/>
          <w:szCs w:val="24"/>
          <w:highlight w:val="none"/>
          <w:lang w:eastAsia="zh-CN"/>
        </w:rPr>
        <w:t xml:space="preserve">（</w:t>
      </w:r>
      <w:r>
        <w:rPr>
          <w:rFonts w:hint="eastAsia"/>
          <w:b/>
          <w:bCs w:val="0"/>
          <w:color w:val="auto"/>
          <w:sz w:val="24"/>
          <w:szCs w:val="24"/>
          <w:highlight w:val="none"/>
          <w:lang w:val="en-US" w:eastAsia="zh-CN"/>
        </w:rPr>
        <w:t xml:space="preserve">各路段）</w:t>
      </w:r>
      <w:r>
        <w:rPr>
          <w:b/>
          <w:bCs w:val="0"/>
          <w:color w:val="auto"/>
          <w:sz w:val="24"/>
          <w:szCs w:val="24"/>
          <w:highlight w:val="none"/>
        </w:rPr>
        <w:t xml:space="preserve">投标</w:t>
      </w:r>
      <w:r>
        <w:rPr>
          <w:rFonts w:hint="eastAsia"/>
          <w:b/>
          <w:bCs w:val="0"/>
          <w:color w:val="auto"/>
          <w:sz w:val="24"/>
          <w:szCs w:val="24"/>
          <w:highlight w:val="none"/>
          <w:lang w:val="en-US" w:eastAsia="zh-CN"/>
        </w:rPr>
        <w:t xml:space="preserve">报价</w:t>
      </w:r>
      <w:r>
        <w:rPr>
          <w:b/>
          <w:bCs w:val="0"/>
          <w:color w:val="auto"/>
          <w:sz w:val="24"/>
          <w:szCs w:val="24"/>
          <w:highlight w:val="none"/>
        </w:rPr>
        <w:t xml:space="preserve">超过本项目（</w:t>
      </w:r>
      <w:r>
        <w:rPr>
          <w:rFonts w:hint="eastAsia"/>
          <w:b/>
          <w:bCs w:val="0"/>
          <w:color w:val="auto"/>
          <w:sz w:val="24"/>
          <w:szCs w:val="24"/>
          <w:highlight w:val="none"/>
          <w:lang w:val="en-US" w:eastAsia="zh-CN"/>
        </w:rPr>
        <w:t xml:space="preserve">各</w:t>
      </w:r>
      <w:r>
        <w:rPr>
          <w:b/>
          <w:bCs w:val="0"/>
          <w:color w:val="auto"/>
          <w:sz w:val="24"/>
          <w:szCs w:val="24"/>
          <w:highlight w:val="none"/>
        </w:rPr>
        <w:t xml:space="preserve">标段）</w:t>
      </w:r>
      <w:r>
        <w:rPr>
          <w:rFonts w:hint="eastAsia"/>
          <w:b/>
          <w:bCs w:val="0"/>
          <w:color w:val="auto"/>
          <w:sz w:val="24"/>
          <w:szCs w:val="24"/>
          <w:highlight w:val="none"/>
          <w:lang w:eastAsia="zh-CN"/>
        </w:rPr>
        <w:t xml:space="preserve">（</w:t>
      </w:r>
      <w:r>
        <w:rPr>
          <w:rFonts w:hint="eastAsia"/>
          <w:b/>
          <w:bCs w:val="0"/>
          <w:color w:val="auto"/>
          <w:sz w:val="24"/>
          <w:szCs w:val="24"/>
          <w:highlight w:val="none"/>
          <w:lang w:val="en-US" w:eastAsia="zh-CN"/>
        </w:rPr>
        <w:t xml:space="preserve">各路段）</w:t>
      </w:r>
      <w:r>
        <w:rPr>
          <w:b/>
          <w:bCs w:val="0"/>
          <w:color w:val="auto"/>
          <w:sz w:val="24"/>
          <w:szCs w:val="24"/>
          <w:highlight w:val="none"/>
        </w:rPr>
        <w:t xml:space="preserve">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default" w:ascii="宋体"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rFonts w:hint="eastAsia"/>
          <w:bCs/>
          <w:color w:val="auto"/>
          <w:sz w:val="24"/>
          <w:szCs w:val="24"/>
          <w:highlight w:val="none"/>
          <w:lang w:val="en-US" w:eastAsia="zh-CN"/>
        </w:rPr>
        <w:t xml:space="preserve">技术文件少于80页，多于400页的；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投标文件内容不全或不符合招标文件中规定的</w:t>
      </w:r>
      <w:r>
        <w:rPr>
          <w:rFonts w:hint="eastAsia"/>
          <w:bCs/>
          <w:color w:val="auto"/>
          <w:sz w:val="24"/>
          <w:szCs w:val="24"/>
          <w:highlight w:val="none"/>
          <w:lang w:eastAsia="zh-CN"/>
        </w:rPr>
        <w:t xml:space="preserve">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法律法规和招标文件规定的</w:t>
      </w:r>
      <w:r>
        <w:rPr>
          <w:rFonts w:hint="eastAsia"/>
          <w:bCs/>
          <w:color w:val="auto"/>
          <w:sz w:val="24"/>
          <w:szCs w:val="24"/>
          <w:highlight w:val="none"/>
          <w:lang w:eastAsia="zh-CN"/>
        </w:rPr>
        <w:t xml:space="preserve">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 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将在</w:t>
      </w:r>
      <w:r>
        <w:rPr>
          <w:rFonts w:hint="eastAsia"/>
          <w:bCs/>
          <w:color w:val="auto"/>
          <w:sz w:val="24"/>
          <w:szCs w:val="24"/>
          <w:highlight w:val="none"/>
          <w:lang w:eastAsia="zh-CN"/>
        </w:rPr>
        <w:t xml:space="preserve">中国政府采购网、江苏政府采购网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eastAsia="黑体"/>
          <w:bCs/>
          <w:color w:val="auto"/>
          <w:sz w:val="24"/>
          <w:szCs w:val="24"/>
          <w:highlight w:val="none"/>
        </w:rPr>
        <w:t xml:space="preserve">） 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4"/>
        </w:numPr>
        <w:ind w:left="0" w:firstLine="525"/>
        <w:spacing w:line="360"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采购人应当自中标通知书发出之日起三十日内，按照招标文件和中标供应商投标文件的约定，在</w:t>
      </w:r>
      <w:r>
        <w:rPr>
          <w:rFonts w:hint="eastAsia"/>
          <w:color w:val="auto"/>
          <w:sz w:val="24"/>
          <w:highlight w:val="none"/>
          <w:lang w:eastAsia="zh-CN"/>
        </w:rPr>
        <w:t xml:space="preserve">北京中昌工程咨询有限公司</w:t>
      </w:r>
      <w:r>
        <w:rPr>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color w:val="auto"/>
          <w:sz w:val="24"/>
          <w:highlight w:val="none"/>
          <w:lang w:eastAsia="zh-CN"/>
        </w:rPr>
        <w:t xml:space="preserve">北京中昌工程咨询有限公司</w:t>
      </w:r>
      <w:r>
        <w:rPr>
          <w:bCs/>
          <w:color w:val="auto"/>
          <w:sz w:val="24"/>
          <w:szCs w:val="24"/>
          <w:highlight w:val="none"/>
        </w:rPr>
        <w:t xml:space="preserve">见证部分详见招标文件合同书（格式条款），见证后的格式条款不得作任何修改。</w:t>
      </w:r>
      <w:r/>
    </w:p>
    <w:p>
      <w:pPr>
        <w:numPr>
          <w:ilvl w:val="0"/>
          <w:numId w:val="4"/>
        </w:numPr>
        <w:ind w:left="0" w:firstLine="525"/>
        <w:spacing w:line="360"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北京中昌工程咨询有限公司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）中标服务费：</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1.本项目招标代理服务费以中标金额为计费基础，按差额定率累进法计算：</w:t>
      </w:r>
      <w:r>
        <w:rPr>
          <w:rFonts w:hint="eastAsia" w:ascii="宋体" w:hAnsi="宋体" w:cs="宋体"/>
          <w:color w:val="auto"/>
          <w:sz w:val="24"/>
          <w:highlight w:val="none"/>
          <w:lang w:eastAsia="zh-CN"/>
        </w:rPr>
        <w:t xml:space="preserve">100万元以下</w:t>
      </w:r>
      <w:r>
        <w:rPr>
          <w:rFonts w:hint="eastAsia" w:ascii="宋体" w:hAnsi="宋体" w:eastAsia="宋体" w:cs="宋体"/>
          <w:color w:val="auto"/>
          <w:sz w:val="24"/>
          <w:highlight w:val="none"/>
        </w:rPr>
        <w:t xml:space="preserve">费率为1.5%</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100万—500万</w:t>
      </w:r>
      <w:r>
        <w:rPr>
          <w:rFonts w:hint="eastAsia" w:ascii="宋体" w:hAnsi="宋体" w:eastAsia="宋体" w:cs="宋体"/>
          <w:color w:val="auto"/>
          <w:sz w:val="24"/>
          <w:highlight w:val="none"/>
        </w:rPr>
        <w:t xml:space="preserve">费率为0.8%；在此基础上打七折计取。</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招标代理服务费</w:t>
      </w:r>
      <w:r>
        <w:rPr>
          <w:rFonts w:hint="eastAsia" w:ascii="宋体" w:hAnsi="宋体"/>
          <w:bCs/>
          <w:color w:val="auto"/>
          <w:sz w:val="24"/>
          <w:highlight w:val="none"/>
          <w:lang w:val="en-US" w:eastAsia="zh-CN"/>
        </w:rPr>
        <w:t xml:space="preserve">包含在本项目投标总报价中，</w:t>
      </w:r>
      <w:r>
        <w:rPr>
          <w:rFonts w:hint="eastAsia" w:ascii="宋体" w:hAnsi="宋体" w:eastAsia="宋体" w:cs="宋体"/>
          <w:bCs/>
          <w:color w:val="auto"/>
          <w:sz w:val="24"/>
          <w:highlight w:val="none"/>
        </w:rPr>
        <w:t xml:space="preserve">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hint="eastAsia" w:eastAsia="黑体"/>
          <w:bCs/>
          <w:color w:val="auto"/>
          <w:sz w:val="24"/>
          <w:szCs w:val="24"/>
          <w:highlight w:val="none"/>
          <w:lang w:eastAsia="zh-CN"/>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八</w:t>
      </w:r>
      <w:r>
        <w:rPr>
          <w:rFonts w:eastAsia="黑体"/>
          <w:bCs/>
          <w:color w:val="auto"/>
          <w:sz w:val="24"/>
          <w:szCs w:val="24"/>
          <w:highlight w:val="none"/>
        </w:rPr>
        <w:t xml:space="preserve">）合同融资、履约担保</w:t>
      </w:r>
      <w:r>
        <w:rPr>
          <w:rFonts w:hint="eastAsia" w:eastAsia="黑体"/>
          <w:bCs/>
          <w:color w:val="auto"/>
          <w:sz w:val="24"/>
          <w:szCs w:val="24"/>
          <w:highlight w:val="none"/>
          <w:lang w:eastAsia="zh-CN"/>
        </w:rPr>
        <w:t xml:space="preserve">：</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5" w:name="_Toc560"/>
      <w:r/>
      <w:bookmarkStart w:id="6" w:name="_Toc4840"/>
      <w:r>
        <w:rPr>
          <w:rFonts w:eastAsia="黑体"/>
          <w:bCs/>
          <w:color w:val="auto"/>
          <w:sz w:val="30"/>
          <w:szCs w:val="30"/>
          <w:highlight w:val="none"/>
        </w:rPr>
        <w:t xml:space="preserve">三</w:t>
      </w:r>
      <w:r>
        <w:rPr>
          <w:rFonts w:hint="eastAsia" w:eastAsia="黑体"/>
          <w:bCs/>
          <w:color w:val="auto"/>
          <w:sz w:val="30"/>
          <w:szCs w:val="30"/>
          <w:highlight w:val="none"/>
          <w:lang w:eastAsia="zh-CN"/>
        </w:rPr>
        <w:t xml:space="preserve">、</w:t>
      </w:r>
      <w:r>
        <w:rPr>
          <w:rFonts w:eastAsia="黑体"/>
          <w:b/>
          <w:color w:val="auto"/>
          <w:sz w:val="30"/>
          <w:szCs w:val="30"/>
          <w:highlight w:val="none"/>
        </w:rPr>
        <w:t xml:space="preserve">项目技术要求和有关说明</w:t>
      </w:r>
      <w:bookmarkEnd w:id="5"/>
      <w:r/>
      <w:bookmarkEnd w:id="6"/>
      <w:r/>
      <w:r/>
    </w:p>
    <w:p>
      <w:pPr>
        <w:ind w:firstLine="482"/>
        <w:keepLines w:val="0"/>
        <w:keepNext w:val="0"/>
        <w:pageBreakBefore w:val="0"/>
        <w:spacing w:line="360" w:lineRule="auto"/>
        <w:widowControl w:val="off"/>
        <w:rPr>
          <w:rFonts w:hint="eastAsia" w:ascii="宋体" w:hAnsi="宋体" w:cs="Arial"/>
          <w:b/>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p>
    <w:p>
      <w:pPr>
        <w:ind w:firstLine="480"/>
        <w:jc w:val="left"/>
        <w:keepLines w:val="0"/>
        <w:keepNext w:val="0"/>
        <w:pageBreakBefore w:val="0"/>
        <w:spacing w:line="36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1.采购标的需实现的功能或者目标：</w:t>
      </w:r>
      <w:r>
        <w:rPr>
          <w:rFonts w:hint="eastAsia" w:ascii="宋体" w:hAnsi="宋体" w:eastAsia="宋体" w:cs="Times New Roman"/>
          <w:color w:val="auto"/>
          <w:sz w:val="24"/>
          <w:highlight w:val="none"/>
          <w:lang w:eastAsia="zh-CN"/>
        </w:rPr>
        <w:t xml:space="preserve">2026年滨湖区区管绿化老设施养护服务项目</w:t>
      </w:r>
      <w:r>
        <w:rPr>
          <w:rFonts w:hint="eastAsia" w:ascii="宋体" w:hAnsi="宋体" w:eastAsia="宋体" w:cs="Times New Roman"/>
          <w:color w:val="auto"/>
          <w:sz w:val="24"/>
          <w:highlight w:val="none"/>
          <w:lang w:val="en-US" w:eastAsia="zh-CN"/>
        </w:rPr>
        <w:t xml:space="preserve">，包含对北华路（稻香路－太湖大道）、产山新村、二轻宿舍、广电路、荷叶新村、华晶游园、机床新村、蠡成村、粮科宿舍、青山东路、青山二村、青山西路、青山一村、青山支路、青松新村、荣院宿舍、胜利新村、水秀、稻香新村、水秀游园、孙蒋新村、孙乔路、溪北新村、政法路、118家舍、蓓蕾新村、江大二村（梁溪路100号）、江大新村、龙山路、青龙山支路、荣巷新村、孙巷大楼、桃源新村（含东小区）、望惠路、许巷新村、郁巷新村、张巷新村、中荣大楼等区管绿化老设施的进行绿化养护服务。</w:t>
      </w:r>
      <w:r/>
    </w:p>
    <w:p>
      <w:pPr>
        <w:ind w:firstLine="480"/>
        <w:jc w:val="left"/>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s="Times New Roman"/>
          <w:color w:val="auto"/>
          <w:sz w:val="24"/>
          <w:highlight w:val="none"/>
        </w:rPr>
        <w:t xml:space="preserve">2.为落实政府采购政策需满足的要求：</w:t>
      </w:r>
      <w:r>
        <w:rPr>
          <w:rFonts w:hint="eastAsia" w:ascii="宋体" w:hAnsi="宋体" w:eastAsia="宋体" w:cs="Times New Roman"/>
          <w:color w:val="auto"/>
          <w:sz w:val="24"/>
          <w:highlight w:val="none"/>
          <w:lang w:val="en-US" w:eastAsia="zh-CN"/>
        </w:rPr>
        <w:t xml:space="preserve">无。</w:t>
      </w:r>
      <w:r/>
    </w:p>
    <w:p>
      <w:pPr>
        <w:ind w:firstLine="482"/>
        <w:spacing w:line="360" w:lineRule="auto"/>
        <w:rPr>
          <w:rFonts w:hint="default" w:ascii="宋体" w:hAnsi="宋体" w:eastAsia="宋体" w:cs="Verdana"/>
          <w:b/>
          <w:color w:val="auto"/>
          <w:sz w:val="24"/>
          <w:szCs w:val="24"/>
          <w:highlight w:val="none"/>
        </w:rPr>
      </w:pPr>
      <w:r>
        <w:rPr>
          <w:rFonts w:hint="eastAsia" w:ascii="宋体" w:hAnsi="宋体" w:eastAsia="宋体" w:cs="Verdana"/>
          <w:b/>
          <w:color w:val="auto"/>
          <w:sz w:val="24"/>
          <w:szCs w:val="24"/>
          <w:highlight w:val="none"/>
        </w:rPr>
        <w:t xml:space="preserve">二、本项目需执行的国家相关标准、行业标准、地方标准或者其他标准、规范：</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rPr>
        <w:t xml:space="preserve">《</w:t>
      </w:r>
      <w:r>
        <w:rPr>
          <w:rFonts w:hint="default" w:ascii="Times New Roman" w:hAnsi="Times New Roman" w:eastAsia="宋体" w:cs="Times New Roman"/>
          <w:color w:val="auto"/>
          <w:szCs w:val="24"/>
          <w:highlight w:val="none"/>
        </w:rPr>
        <w:fldChar w:fldCharType="begin"/>
      </w:r>
      <w:r>
        <w:rPr>
          <w:rFonts w:hint="default" w:ascii="Times New Roman" w:hAnsi="Times New Roman" w:eastAsia="宋体" w:cs="Times New Roman"/>
          <w:color w:val="auto"/>
          <w:szCs w:val="24"/>
          <w:highlight w:val="none"/>
        </w:rPr>
        <w:instrText xml:space="preserve"> HYPERLINK "https://www.baidu.com/s?wd=%E5%9F%8E%E5%B8%82%E5%9B%AD%E6%9E%97%E7%BB%BF%E5%8C%96%E5%B7%A5%E7%A8%8B%E6%96%BD%E5%B7%A5%E5%8F%8A%E9%AA%8C%E6%94%B6%E8%A7%84%E8%8C%83&amp;tn=SE_PcZhidaonwhc_ngpagmjz&amp;rsv_dl=gh_pc_zhidao" \t "_blank" </w:instrText>
      </w:r>
      <w:r>
        <w:rPr>
          <w:rFonts w:hint="default" w:ascii="Times New Roman" w:hAnsi="Times New Roman" w:eastAsia="宋体" w:cs="Times New Roman"/>
          <w:color w:val="auto"/>
          <w:szCs w:val="24"/>
          <w:highlight w:val="none"/>
        </w:rPr>
        <w:fldChar w:fldCharType="separate"/>
      </w:r>
      <w:r>
        <w:rPr>
          <w:rFonts w:hint="eastAsia" w:ascii="宋体" w:hAnsi="宋体" w:eastAsia="宋体" w:cs="Times New Roman"/>
          <w:bCs/>
          <w:color w:val="auto"/>
          <w:sz w:val="24"/>
          <w:szCs w:val="24"/>
          <w:highlight w:val="none"/>
        </w:rPr>
        <w:t xml:space="preserve">园林绿化工程施工及验收规范</w:t>
      </w:r>
      <w:r>
        <w:rPr>
          <w:rFonts w:hint="default"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》（CJJ</w:t>
      </w:r>
      <w:r>
        <w:rPr>
          <w:rFonts w:hint="default" w:ascii="宋体" w:hAnsi="宋体" w:eastAsia="宋体" w:cs="Times New Roman"/>
          <w:bCs/>
          <w:color w:val="auto"/>
          <w:sz w:val="24"/>
          <w:szCs w:val="24"/>
          <w:highlight w:val="none"/>
        </w:rPr>
        <w:t xml:space="preserve">82</w:t>
      </w:r>
      <w:r>
        <w:rPr>
          <w:rFonts w:hint="eastAsia"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rPr>
        <w:t xml:space="preserve">2012</w:t>
      </w:r>
      <w:r>
        <w:rPr>
          <w:rFonts w:hint="eastAsia" w:ascii="宋体" w:hAnsi="宋体" w:eastAsia="宋体" w:cs="Times New Roman"/>
          <w:bCs/>
          <w:color w:val="auto"/>
          <w:sz w:val="24"/>
          <w:szCs w:val="24"/>
          <w:highlight w:val="none"/>
        </w:rPr>
        <w:t xml:space="preserve">）、《城市园林绿化用植物材料木本苗》（DB11/T211—2003）、《园林绿化工程施工及验收规范》（DGJ</w:t>
      </w:r>
      <w:r>
        <w:rPr>
          <w:rFonts w:hint="default" w:ascii="宋体" w:hAnsi="宋体" w:eastAsia="宋体" w:cs="Times New Roman"/>
          <w:bCs/>
          <w:color w:val="auto"/>
          <w:sz w:val="24"/>
          <w:szCs w:val="24"/>
          <w:highlight w:val="none"/>
        </w:rPr>
        <w:t xml:space="preserve">32</w:t>
      </w:r>
      <w:r>
        <w:rPr>
          <w:rFonts w:hint="eastAsia"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rPr>
        <w:t xml:space="preserve">TJ201-2016</w:t>
      </w:r>
      <w:r>
        <w:rPr>
          <w:rFonts w:hint="eastAsia" w:ascii="宋体" w:hAnsi="宋体" w:eastAsia="宋体" w:cs="Times New Roman"/>
          <w:bCs/>
          <w:color w:val="auto"/>
          <w:sz w:val="24"/>
          <w:szCs w:val="24"/>
          <w:highlight w:val="none"/>
        </w:rPr>
        <w:t xml:space="preserve">）、</w:t>
      </w:r>
      <w:r>
        <w:rPr>
          <w:rFonts w:hint="eastAsia" w:ascii="宋体" w:hAnsi="宋体" w:eastAsia="宋体" w:cs="宋体"/>
          <w:bCs/>
          <w:color w:val="auto"/>
          <w:sz w:val="24"/>
          <w:szCs w:val="24"/>
          <w:highlight w:val="none"/>
        </w:rPr>
        <w:t xml:space="preserve">《江苏省城市园林绿化养护管理规范及分级标准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无锡市滨湖区区管绿地养护管理考核办法》</w:t>
      </w:r>
      <w:r>
        <w:rPr>
          <w:rFonts w:hint="eastAsia" w:ascii="宋体" w:hAnsi="宋体" w:cs="宋体"/>
          <w:bCs/>
          <w:color w:val="auto"/>
          <w:sz w:val="24"/>
          <w:szCs w:val="24"/>
          <w:highlight w:val="none"/>
          <w:lang w:eastAsia="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三、本项目需满足的质量、安全、技术规格、物理特性等要求：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绿地养护质量要求：按《江苏省城市园林绿化养护管理规范及分级标准》要求进行养护，养护等级为江苏省城市绿地养护管理二级标准。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（2）安全要求：安全要求应满足国家相关法律法规的要求，无安全责任事故。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四、本项目采购标的的数量、采购项目交付或者实施的时间和地点要求：</w:t>
      </w:r>
      <w:r/>
    </w:p>
    <w:tbl>
      <w:tblPr>
        <w:tblStyle w:val="711"/>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981"/>
        <w:gridCol w:w="2137"/>
        <w:gridCol w:w="1379"/>
        <w:gridCol w:w="1984"/>
        <w:gridCol w:w="1819"/>
      </w:tblGrid>
      <w:tr>
        <w:trPr>
          <w:jc w:val="center"/>
          <w:trHeight w:val="928"/>
        </w:trPr>
        <w:tc>
          <w:tcPr>
            <w:tcW w:w="62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标段</w:t>
            </w:r>
            <w:r/>
          </w:p>
        </w:tc>
        <w:tc>
          <w:tcPr>
            <w:tcW w:w="981"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片区归属</w:t>
            </w:r>
            <w:r/>
          </w:p>
        </w:tc>
        <w:tc>
          <w:tcPr>
            <w:tcW w:w="213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绿地养护范围</w:t>
            </w:r>
            <w:r/>
          </w:p>
        </w:tc>
        <w:tc>
          <w:tcPr>
            <w:tcW w:w="13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养护等级</w:t>
            </w:r>
            <w:r/>
          </w:p>
        </w:tc>
        <w:tc>
          <w:tcPr>
            <w:tcW w:w="198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绿地面积（㎡）</w:t>
            </w:r>
            <w:r/>
          </w:p>
        </w:tc>
        <w:tc>
          <w:tcPr>
            <w:tcW w:w="181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养护期</w:t>
            </w:r>
            <w:r/>
          </w:p>
        </w:tc>
      </w:tr>
      <w:tr>
        <w:trPr>
          <w:jc w:val="center"/>
          <w:trHeight w:val="432"/>
        </w:trPr>
        <w:tc>
          <w:tcPr>
            <w:tcW w:w="628"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w:t>
            </w:r>
            <w:r/>
          </w:p>
        </w:tc>
        <w:tc>
          <w:tcPr>
            <w:tcW w:w="981"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埒</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w:t>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北华路（稻香路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太湖大道）</w:t>
            </w:r>
            <w:r/>
          </w:p>
        </w:tc>
        <w:tc>
          <w:tcPr>
            <w:tcW w:w="1379"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1682.41</w:t>
            </w:r>
            <w:r/>
          </w:p>
        </w:tc>
        <w:tc>
          <w:tcPr>
            <w:tcW w:w="1819"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年8月1日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年7月31日</w:t>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产山新村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348.53</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二轻宿舍</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149.94</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广电路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荷叶新村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1343.78</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华晶游园</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1266.1</w:t>
            </w:r>
            <w:r>
              <w:rPr>
                <w:rFonts w:hint="eastAsia" w:ascii="宋体" w:hAnsi="宋体" w:eastAsia="宋体" w:cs="宋体"/>
                <w:color w:val="auto"/>
                <w:sz w:val="24"/>
                <w:szCs w:val="24"/>
                <w:highlight w:val="none"/>
                <w:lang w:val="en-US" w:eastAsia="zh-CN"/>
              </w:rPr>
              <w:t xml:space="preserve">1</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机床新村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1138.0</w:t>
            </w:r>
            <w:r>
              <w:rPr>
                <w:rFonts w:hint="eastAsia" w:ascii="宋体" w:hAnsi="宋体" w:eastAsia="宋体" w:cs="宋体"/>
                <w:color w:val="auto"/>
                <w:sz w:val="24"/>
                <w:szCs w:val="24"/>
                <w:highlight w:val="none"/>
                <w:lang w:val="en-US" w:eastAsia="zh-CN"/>
              </w:rPr>
              <w:t xml:space="preserve">2</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蠡成村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435.43</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粮科宿舍</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492.40</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青山东路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青山二村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75.76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青山西路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153</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青山一村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3026.36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青山支路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509.47</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青松新村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1131.34</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荣院宿舍</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971.27</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胜利新村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1262.15</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水秀、稻香新村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440" w:lineRule="exact"/>
              <w:widowControl w:val="off"/>
              <w:rPr>
                <w:rFonts w:hint="eastAsia"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水秀游园</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3866.51</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孙蒋新村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923.99</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孙乔路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溪北新村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1935.76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2"/>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政法路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3"/>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44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21939.22</w:t>
            </w:r>
            <w:r/>
          </w:p>
        </w:tc>
        <w:tc>
          <w:tcPr>
            <w:tcW w:w="181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段</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荣</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巷</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w:t>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118家舍</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1235.55</w:t>
            </w:r>
            <w:r/>
          </w:p>
        </w:tc>
        <w:tc>
          <w:tcPr>
            <w:tcW w:w="1819"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年8月1日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年7月31日</w:t>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蓓蕾新村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822</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江大二村（梁溪路100号）</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397.9</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江大新村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2069.5</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龙山路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1354.77</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青龙山支路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1498.52</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荣巷新村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孙巷大楼</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534.49</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桃源新村（含东小区）</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3473.84</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望惠路</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219.50</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许巷新村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1712.99</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郁巷新村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772</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张巷新村</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696.6</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65"/>
        </w:trPr>
        <w:tc>
          <w:tcPr>
            <w:tcW w:w="628"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1"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37" w:type="dxa"/>
            <w:vAlign w:val="center"/>
            <w:textDirection w:val="lrTb"/>
            <w:noWrap/>
          </w:tcPr>
          <w:p>
            <w:pPr>
              <w:jc w:val="left"/>
              <w:keepLines w:val="0"/>
              <w:keepNext w:val="0"/>
              <w:pageBreakBefore w:val="0"/>
              <w:spacing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中荣大楼</w:t>
            </w:r>
            <w:r/>
          </w:p>
        </w:tc>
        <w:tc>
          <w:tcPr>
            <w:tcW w:w="137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二级</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151.41</w:t>
            </w:r>
            <w:r/>
          </w:p>
        </w:tc>
        <w:tc>
          <w:tcPr>
            <w:tcW w:w="1819" w:type="dxa"/>
            <w:vAlign w:val="center"/>
            <w:vMerge w:val="continue"/>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tcW w:w="628" w:type="dxa"/>
            <w:vAlign w:val="center"/>
            <w:vMerge w:val="continue"/>
            <w:textDirection w:val="lrTb"/>
            <w:noWrap/>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449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16445.06</w:t>
            </w:r>
            <w:r/>
          </w:p>
        </w:tc>
        <w:tc>
          <w:tcPr>
            <w:tcW w:w="181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gridSpan w:val="4"/>
            <w:tcW w:w="5125"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tcW w:w="1984" w:type="dxa"/>
            <w:vAlign w:val="center"/>
            <w:textDirection w:val="lrTb"/>
            <w:noWrap/>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38384.28</w:t>
            </w:r>
            <w:r/>
          </w:p>
        </w:tc>
        <w:tc>
          <w:tcPr>
            <w:tcW w:w="1819"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3" w:firstLine="47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2026年滨湖区区管绿化老设施养护服务项目，</w:t>
      </w:r>
      <w:r>
        <w:rPr>
          <w:rFonts w:hint="eastAsia" w:ascii="宋体" w:hAnsi="宋体" w:eastAsia="宋体" w:cs="宋体"/>
          <w:color w:val="auto"/>
          <w:sz w:val="24"/>
          <w:szCs w:val="24"/>
          <w:highlight w:val="none"/>
          <w:lang w:val="en-US" w:eastAsia="zh-CN" w:bidi="ar-SA"/>
        </w:rPr>
        <w:t xml:space="preserve">共设2个标段，养护范围、养护面积、养护等级及养护期限情况详见下表：</w:t>
      </w:r>
      <w:r/>
    </w:p>
    <w:p>
      <w:pPr>
        <w:ind w:firstLine="480"/>
        <w:keepLines w:val="0"/>
        <w:keepNext w:val="0"/>
        <w:pageBreakBefore w:val="0"/>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养护期限：</w:t>
      </w:r>
      <w:r>
        <w:rPr>
          <w:rFonts w:hint="eastAsia" w:ascii="宋体" w:hAnsi="宋体" w:eastAsia="宋体" w:cs="宋体"/>
          <w:bCs/>
          <w:color w:val="auto"/>
          <w:sz w:val="24"/>
          <w:szCs w:val="24"/>
          <w:highlight w:val="none"/>
          <w:lang w:val="en-US" w:eastAsia="zh-CN"/>
        </w:rPr>
        <w:t xml:space="preserve">3年（具体时间根据合同约定）</w:t>
      </w:r>
      <w:r>
        <w:rPr>
          <w:rFonts w:hint="eastAsia" w:ascii="宋体" w:hAnsi="宋体" w:eastAsia="宋体" w:cs="宋体"/>
          <w:bCs/>
          <w:color w:val="auto"/>
          <w:sz w:val="24"/>
          <w:szCs w:val="24"/>
          <w:highlight w:val="none"/>
          <w:lang w:val="zh-CN"/>
        </w:rPr>
        <w:t xml:space="preserve">；</w:t>
      </w:r>
      <w:r/>
    </w:p>
    <w:p>
      <w:pPr>
        <w:ind w:firstLine="480"/>
        <w:jc w:val="left"/>
        <w:keepLines w:val="0"/>
        <w:keepNext w:val="0"/>
        <w:pageBreakBefore w:val="0"/>
        <w:spacing w:line="440" w:lineRule="exact"/>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质量要求：</w:t>
      </w:r>
      <w:r>
        <w:rPr>
          <w:rFonts w:hint="eastAsia" w:ascii="宋体" w:hAnsi="宋体" w:eastAsia="宋体" w:cs="宋体"/>
          <w:bCs/>
          <w:color w:val="auto"/>
          <w:sz w:val="24"/>
          <w:szCs w:val="24"/>
          <w:highlight w:val="none"/>
        </w:rPr>
        <w:t xml:space="preserve">按《江苏省城市园林绿化养护管理规范及分级标准》要求进行养护，养护等级为江苏省城市绿地养护管理二级标准。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五、本项目采购标的需满足的服务标准、期限、效率等要求：</w:t>
      </w:r>
      <w:r/>
    </w:p>
    <w:p>
      <w:pPr>
        <w:ind w:firstLine="232"/>
        <w:jc w:val="left"/>
        <w:spacing w:line="360" w:lineRule="auto"/>
        <w:widowControl w:val="off"/>
        <w:tabs>
          <w:tab w:val="left" w:pos="0" w:leader="none"/>
          <w:tab w:val="left" w:pos="113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（一）绿化养护的质量标准和要求</w:t>
      </w:r>
      <w:r/>
    </w:p>
    <w:p>
      <w:pPr>
        <w:ind w:firstLine="48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绿地养护质量标准：按《江苏省城市园林绿化养护管理规范及分级标准》要求进行养护，养护等级为江苏省城市绿地养护管理二级标准。</w:t>
      </w:r>
      <w:r/>
    </w:p>
    <w:p>
      <w:pPr>
        <w:ind w:firstLine="240"/>
        <w:jc w:val="left"/>
        <w:spacing w:line="360" w:lineRule="auto"/>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（1）绿地设施日常养护的一般</w:t>
      </w:r>
      <w:r>
        <w:rPr>
          <w:rFonts w:hint="eastAsia" w:ascii="宋体" w:hAnsi="宋体" w:eastAsia="宋体" w:cs="宋体"/>
          <w:bCs/>
          <w:color w:val="auto"/>
          <w:sz w:val="24"/>
          <w:szCs w:val="24"/>
          <w:highlight w:val="none"/>
          <w:lang w:val="en-US" w:eastAsia="zh-CN"/>
        </w:rPr>
        <w:t xml:space="preserve">要求</w:t>
      </w:r>
      <w:r/>
    </w:p>
    <w:p>
      <w:pPr>
        <w:ind w:firstLine="48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①绿地中的乔木、灌木、花卉、藤本和攀缘、地被和草坪等植物，凡经栽植成活一年以上的其保存率均应达到9</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植物生长健壮，群落结构合理，青枝绿叶、无死树、无缺株；修剪合理，树型优美、叶茂花盛；花卉地被栽植符合指标，无裸露地、草坪无空秃；病虫杂草控制良好，无大型杂草及缠绕、攀援性杂草、无明显病虫危害迹象，控制病虫害危害率达标。保持绿地设施完好无损，并有良好的景观面貌。</w:t>
      </w:r>
      <w:r/>
    </w:p>
    <w:p>
      <w:pPr>
        <w:ind w:firstLine="48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行道树修剪、剥芽符合技术规程，长势良好，有良好的群体效果：一条道路同一品种分枝点基本相同。无缺株、死株；树木倾斜度不超过10度；无断桩、坏桩，桩位绑扎规范化；基本无病虫害危害迹象；有防台措施。</w:t>
      </w:r>
      <w:r/>
    </w:p>
    <w:p>
      <w:pPr>
        <w:ind w:firstLine="48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③养护标段内在日常养护中发生绿化苗木抽稀、调整和改善土质等工作，是正常的养护内容，</w:t>
      </w:r>
      <w:r>
        <w:rPr>
          <w:rFonts w:hint="eastAsia" w:ascii="宋体" w:hAnsi="宋体" w:eastAsia="宋体" w:cs="宋体"/>
          <w:color w:val="auto"/>
          <w:sz w:val="24"/>
          <w:szCs w:val="24"/>
          <w:highlight w:val="none"/>
        </w:rPr>
        <w:t xml:space="preserve">每年对总量3%以内的乔木进行调整</w:t>
      </w:r>
      <w:r>
        <w:rPr>
          <w:rFonts w:hint="eastAsia" w:ascii="宋体" w:hAnsi="宋体" w:eastAsia="宋体" w:cs="宋体"/>
          <w:bCs/>
          <w:color w:val="auto"/>
          <w:sz w:val="24"/>
          <w:szCs w:val="24"/>
          <w:highlight w:val="none"/>
        </w:rPr>
        <w:t xml:space="preserve">。</w:t>
      </w:r>
      <w:r/>
    </w:p>
    <w:p>
      <w:pPr>
        <w:ind w:firstLine="48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绿地内园路、小品等硬质铺装及构筑物确保设施完整，做好日常保养维修工作，其中木（铁）质每年不少于1次油漆。绿地附属栏杆保持完好、完整，每年油漆1次。景观道路沿线绿地挡土墙因车辆撞击等各种因素破损、残缺的，事故发生后或事故现场清理后24小时内需修复。</w:t>
      </w:r>
      <w:r/>
    </w:p>
    <w:p>
      <w:pPr>
        <w:ind w:firstLine="48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color w:val="auto"/>
          <w:sz w:val="24"/>
          <w:szCs w:val="24"/>
          <w:highlight w:val="none"/>
        </w:rPr>
        <w:t xml:space="preserve">因管理需要，</w:t>
      </w:r>
      <w:r>
        <w:rPr>
          <w:rFonts w:hint="eastAsia" w:ascii="宋体" w:hAnsi="宋体" w:eastAsia="宋体" w:cs="宋体"/>
          <w:bCs/>
          <w:color w:val="auto"/>
          <w:sz w:val="24"/>
          <w:szCs w:val="24"/>
          <w:highlight w:val="none"/>
        </w:rPr>
        <w:t xml:space="preserve">专项养护方案合同期内应对投标文件中提出的行道树管养、草花布置、乔木修剪、花灌木修剪、色块管理、地被及草坪管养、空秃地整治、疏林、树木与各类设施的矛盾解决等有效提升绿地景观的专项养护方案，按照具体管理要求予以落实</w:t>
      </w:r>
      <w:r>
        <w:rPr>
          <w:rFonts w:hint="eastAsia" w:ascii="宋体" w:hAnsi="宋体" w:eastAsia="宋体" w:cs="宋体"/>
          <w:color w:val="auto"/>
          <w:sz w:val="24"/>
          <w:szCs w:val="24"/>
          <w:highlight w:val="none"/>
        </w:rPr>
        <w:t xml:space="preserve">。</w:t>
      </w:r>
      <w:r/>
    </w:p>
    <w:p>
      <w:pPr>
        <w:ind w:firstLine="480"/>
        <w:jc w:val="left"/>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rPr>
        <w:t xml:space="preserve">日常保洁养护内业资料齐全，做到有计划、有记录、有统计</w:t>
      </w:r>
      <w:r>
        <w:rPr>
          <w:rFonts w:hint="eastAsia" w:ascii="宋体" w:hAnsi="宋体" w:cs="宋体"/>
          <w:color w:val="auto"/>
          <w:sz w:val="24"/>
          <w:szCs w:val="24"/>
          <w:highlight w:val="none"/>
          <w:lang w:eastAsia="zh-CN"/>
        </w:rPr>
        <w:t xml:space="preserve">，并且</w:t>
      </w:r>
      <w:r>
        <w:rPr>
          <w:rFonts w:hint="eastAsia" w:ascii="宋体" w:hAnsi="宋体" w:eastAsia="宋体" w:cs="宋体"/>
          <w:color w:val="auto"/>
          <w:sz w:val="24"/>
          <w:szCs w:val="24"/>
          <w:highlight w:val="none"/>
        </w:rPr>
        <w:t xml:space="preserve">资料与实际养护情况相符。</w:t>
      </w:r>
      <w:r/>
    </w:p>
    <w:p>
      <w:pPr>
        <w:ind w:firstLine="240"/>
        <w:jc w:val="left"/>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（2）绿地养护等级标准</w:t>
      </w:r>
      <w:r/>
    </w:p>
    <w:tbl>
      <w:tblPr>
        <w:tblStyle w:val="711"/>
        <w:tblW w:w="8831" w:type="dxa"/>
        <w:jc w:val="center"/>
        <w:tblLayout w:type="fixed"/>
        <w:tblCellMar>
          <w:left w:w="108" w:type="dxa"/>
          <w:top w:w="0" w:type="dxa"/>
          <w:right w:w="108" w:type="dxa"/>
          <w:bottom w:w="0" w:type="dxa"/>
        </w:tblCellMar>
        <w:tblLook w:val="04A0" w:firstRow="1" w:lastRow="0" w:firstColumn="1" w:lastColumn="0" w:noHBand="0" w:noVBand="1"/>
      </w:tblPr>
      <w:tblGrid>
        <w:gridCol w:w="1711"/>
        <w:gridCol w:w="7120"/>
      </w:tblGrid>
      <w:tr>
        <w:trPr>
          <w:jc w:val="center"/>
          <w:trHeight w:val="105"/>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等级标准</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ind w:firstLine="200"/>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二级养护标准</w:t>
            </w:r>
            <w:r/>
          </w:p>
        </w:tc>
      </w:tr>
      <w:tr>
        <w:trPr>
          <w:cantSplit/>
          <w:jc w:val="center"/>
          <w:trHeight w:val="1835"/>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200"/>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乔木</w:t>
            </w:r>
            <w:r/>
          </w:p>
        </w:tc>
        <w:tc>
          <w:tcPr>
            <w:tcBorders>
              <w:top w:val="single" w:color="auto" w:sz="4" w:space="0"/>
              <w:left w:val="single" w:color="auto" w:sz="4" w:space="0"/>
              <w:bottom w:val="single" w:color="auto" w:sz="4" w:space="0"/>
              <w:right w:val="single" w:color="auto" w:sz="4" w:space="0"/>
            </w:tcBorders>
            <w:tcW w:w="7120" w:type="dxa"/>
            <w:vAlign w:val="top"/>
            <w:textDirection w:val="lrTb"/>
            <w:noWrap w:val="false"/>
          </w:tcPr>
          <w:p>
            <w:pPr>
              <w:jc w:val="left"/>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生长正常，树冠完整，树形较优美。分枝点较合适，基本无枯枝死杈；主侧枝分布匀称、数量较适宜；修剪及时、合理，内膛不乱，通风透光。树木基本不歪斜（造型树木除外）。叶片大小、颜色正常，无明显黄叶、焦叶、卷叶。基本无枯死株。基本无可视的病虫危害症状，被害株率≤</w:t>
            </w:r>
            <w:r>
              <w:rPr>
                <w:rFonts w:hint="default" w:ascii="宋体" w:hAnsi="宋体" w:eastAsia="宋体" w:cs="黑体"/>
                <w:color w:val="auto"/>
                <w:sz w:val="24"/>
                <w:szCs w:val="24"/>
                <w:highlight w:val="none"/>
                <w:lang w:val="en-US" w:eastAsia="zh-CN"/>
              </w:rPr>
              <w:t xml:space="preserve">5%</w:t>
            </w:r>
            <w:r>
              <w:rPr>
                <w:rFonts w:hint="eastAsia" w:ascii="宋体" w:hAnsi="宋体" w:eastAsia="宋体" w:cs="黑体"/>
                <w:color w:val="auto"/>
                <w:sz w:val="24"/>
                <w:szCs w:val="24"/>
                <w:highlight w:val="none"/>
                <w:lang w:val="en-US" w:eastAsia="zh-CN"/>
              </w:rPr>
              <w:t xml:space="preserve">。</w:t>
            </w:r>
            <w:r/>
          </w:p>
        </w:tc>
      </w:tr>
      <w:tr>
        <w:trPr>
          <w:cantSplit/>
          <w:jc w:val="center"/>
          <w:trHeight w:val="683"/>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200"/>
              <w:jc w:val="center"/>
              <w:spacing w:line="300" w:lineRule="auto"/>
              <w:widowControl/>
              <w:rPr>
                <w:rFonts w:hint="eastAsia" w:ascii="宋体" w:hAnsi="宋体" w:eastAsia="宋体" w:cs="黑体"/>
                <w:color w:val="auto"/>
                <w:sz w:val="24"/>
                <w:szCs w:val="24"/>
                <w:highlight w:val="none"/>
                <w:lang w:val="en-US" w:eastAsia="zh-CN"/>
              </w:rPr>
            </w:pPr>
            <w:r>
              <w:rPr>
                <w:rFonts w:hint="eastAsia" w:ascii="宋体" w:hAnsi="宋体" w:eastAsia="宋体" w:cs="黑体"/>
                <w:color w:val="auto"/>
                <w:sz w:val="24"/>
                <w:szCs w:val="24"/>
                <w:highlight w:val="none"/>
                <w:lang w:val="en-US" w:eastAsia="zh-CN"/>
              </w:rPr>
              <w:t xml:space="preserve">花灌木</w:t>
            </w:r>
            <w:r/>
          </w:p>
        </w:tc>
        <w:tc>
          <w:tcPr>
            <w:tcBorders>
              <w:top w:val="single" w:color="auto" w:sz="4" w:space="0"/>
              <w:left w:val="single" w:color="auto" w:sz="4" w:space="0"/>
              <w:bottom w:val="single" w:color="auto" w:sz="4" w:space="0"/>
              <w:right w:val="single" w:color="auto" w:sz="4" w:space="0"/>
            </w:tcBorders>
            <w:tcW w:w="7120" w:type="dxa"/>
            <w:vAlign w:val="top"/>
            <w:textDirection w:val="lrTb"/>
            <w:noWrap w:val="false"/>
          </w:tcPr>
          <w:p>
            <w:pPr>
              <w:jc w:val="left"/>
              <w:spacing w:line="300" w:lineRule="auto"/>
              <w:widowControl/>
              <w:rPr>
                <w:rFonts w:hint="eastAsia"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花灌木株形丰满，开花适时，花后修剪及时合理。基本无可视的病虫危害症状，被害株率≤5%。</w:t>
            </w:r>
            <w:r/>
          </w:p>
        </w:tc>
      </w:tr>
      <w:tr>
        <w:trPr>
          <w:cantSplit/>
          <w:jc w:val="center"/>
          <w:trHeight w:val="985"/>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200"/>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草坪</w:t>
            </w:r>
            <w:r/>
          </w:p>
        </w:tc>
        <w:tc>
          <w:tcPr>
            <w:tcBorders>
              <w:top w:val="single" w:color="auto" w:sz="4" w:space="0"/>
              <w:left w:val="single" w:color="auto" w:sz="4" w:space="0"/>
              <w:bottom w:val="single" w:color="auto" w:sz="4" w:space="0"/>
              <w:right w:val="single" w:color="auto" w:sz="4" w:space="0"/>
            </w:tcBorders>
            <w:tcW w:w="7120" w:type="dxa"/>
            <w:vAlign w:val="top"/>
            <w:textDirection w:val="lrTb"/>
            <w:noWrap w:val="false"/>
          </w:tcPr>
          <w:p>
            <w:pPr>
              <w:jc w:val="left"/>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草坪覆盖率</w:t>
            </w:r>
            <w:r>
              <w:rPr>
                <w:rFonts w:hint="default" w:ascii="宋体" w:hAnsi="宋体" w:eastAsia="宋体" w:cs="黑体"/>
                <w:color w:val="auto"/>
                <w:sz w:val="24"/>
                <w:szCs w:val="24"/>
                <w:highlight w:val="none"/>
                <w:lang w:val="en-US" w:eastAsia="zh-CN"/>
              </w:rPr>
              <w:t xml:space="preserve">95%</w:t>
            </w:r>
            <w:r>
              <w:rPr>
                <w:rFonts w:hint="eastAsia" w:ascii="宋体" w:hAnsi="宋体" w:eastAsia="宋体" w:cs="黑体"/>
                <w:color w:val="auto"/>
                <w:sz w:val="24"/>
                <w:szCs w:val="24"/>
                <w:highlight w:val="none"/>
                <w:lang w:val="en-US" w:eastAsia="zh-CN"/>
              </w:rPr>
              <w:t xml:space="preserve">以上，单块斑秃面积不超过</w:t>
            </w:r>
            <w:r>
              <w:rPr>
                <w:rFonts w:hint="default" w:ascii="宋体" w:hAnsi="宋体" w:eastAsia="宋体" w:cs="黑体"/>
                <w:color w:val="auto"/>
                <w:sz w:val="24"/>
                <w:szCs w:val="24"/>
                <w:highlight w:val="none"/>
                <w:lang w:val="en-US" w:eastAsia="zh-CN"/>
              </w:rPr>
              <w:t xml:space="preserve">0.2m2 </w:t>
            </w:r>
            <w:r>
              <w:rPr>
                <w:rFonts w:hint="eastAsia" w:ascii="宋体" w:hAnsi="宋体" w:eastAsia="宋体" w:cs="黑体"/>
                <w:color w:val="auto"/>
                <w:sz w:val="24"/>
                <w:szCs w:val="24"/>
                <w:highlight w:val="none"/>
                <w:lang w:val="en-US" w:eastAsia="zh-CN"/>
              </w:rPr>
              <w:t xml:space="preserve">或</w:t>
            </w:r>
            <w:r>
              <w:rPr>
                <w:rFonts w:hint="default" w:ascii="宋体" w:hAnsi="宋体" w:eastAsia="宋体" w:cs="黑体"/>
                <w:color w:val="auto"/>
                <w:sz w:val="24"/>
                <w:szCs w:val="24"/>
                <w:highlight w:val="none"/>
                <w:lang w:val="en-US" w:eastAsia="zh-CN"/>
              </w:rPr>
              <w:t xml:space="preserve">10m2</w:t>
            </w:r>
            <w:r>
              <w:rPr>
                <w:rFonts w:hint="eastAsia" w:ascii="宋体" w:hAnsi="宋体" w:eastAsia="宋体" w:cs="黑体"/>
                <w:color w:val="auto"/>
                <w:sz w:val="24"/>
                <w:szCs w:val="24"/>
                <w:highlight w:val="none"/>
                <w:lang w:val="en-US" w:eastAsia="zh-CN"/>
              </w:rPr>
              <w:t xml:space="preserve">绿地内斑秃面积不超过</w:t>
            </w:r>
            <w:r>
              <w:rPr>
                <w:rFonts w:hint="default" w:ascii="宋体" w:hAnsi="宋体" w:eastAsia="宋体" w:cs="黑体"/>
                <w:color w:val="auto"/>
                <w:sz w:val="24"/>
                <w:szCs w:val="24"/>
                <w:highlight w:val="none"/>
                <w:lang w:val="en-US" w:eastAsia="zh-CN"/>
              </w:rPr>
              <w:t xml:space="preserve">3</w:t>
            </w:r>
            <w:r>
              <w:rPr>
                <w:rFonts w:hint="eastAsia" w:ascii="宋体" w:hAnsi="宋体" w:eastAsia="宋体" w:cs="黑体"/>
                <w:color w:val="auto"/>
                <w:sz w:val="24"/>
                <w:szCs w:val="24"/>
                <w:highlight w:val="none"/>
                <w:lang w:val="en-US" w:eastAsia="zh-CN"/>
              </w:rPr>
              <w:t xml:space="preserve">块；草坪内杂草率≤</w:t>
            </w:r>
            <w:r>
              <w:rPr>
                <w:rFonts w:hint="default" w:ascii="宋体" w:hAnsi="宋体" w:eastAsia="宋体" w:cs="黑体"/>
                <w:color w:val="auto"/>
                <w:sz w:val="24"/>
                <w:szCs w:val="24"/>
                <w:highlight w:val="none"/>
                <w:lang w:val="en-US" w:eastAsia="zh-CN"/>
              </w:rPr>
              <w:t xml:space="preserve">10%</w:t>
            </w:r>
            <w:r>
              <w:rPr>
                <w:rFonts w:hint="eastAsia" w:ascii="宋体" w:hAnsi="宋体" w:eastAsia="宋体" w:cs="黑体"/>
                <w:color w:val="auto"/>
                <w:sz w:val="24"/>
                <w:szCs w:val="24"/>
                <w:highlight w:val="none"/>
                <w:lang w:val="en-US" w:eastAsia="zh-CN"/>
              </w:rPr>
              <w:t xml:space="preserve">。草坪绿色期：冷季型草坪不得少于</w:t>
            </w:r>
            <w:r>
              <w:rPr>
                <w:rFonts w:hint="default" w:ascii="宋体" w:hAnsi="宋体" w:eastAsia="宋体" w:cs="黑体"/>
                <w:color w:val="auto"/>
                <w:sz w:val="24"/>
                <w:szCs w:val="24"/>
                <w:highlight w:val="none"/>
                <w:lang w:val="en-US" w:eastAsia="zh-CN"/>
              </w:rPr>
              <w:t xml:space="preserve">260</w:t>
            </w:r>
            <w:r>
              <w:rPr>
                <w:rFonts w:hint="eastAsia" w:ascii="宋体" w:hAnsi="宋体" w:eastAsia="宋体" w:cs="黑体"/>
                <w:color w:val="auto"/>
                <w:sz w:val="24"/>
                <w:szCs w:val="24"/>
                <w:highlight w:val="none"/>
                <w:lang w:val="en-US" w:eastAsia="zh-CN"/>
              </w:rPr>
              <w:t xml:space="preserve">天，暖季型草坪不得少于</w:t>
            </w:r>
            <w:r>
              <w:rPr>
                <w:rFonts w:hint="default" w:ascii="宋体" w:hAnsi="宋体" w:eastAsia="宋体" w:cs="黑体"/>
                <w:color w:val="auto"/>
                <w:sz w:val="24"/>
                <w:szCs w:val="24"/>
                <w:highlight w:val="none"/>
                <w:lang w:val="en-US" w:eastAsia="zh-CN"/>
              </w:rPr>
              <w:t xml:space="preserve">170</w:t>
            </w:r>
            <w:r>
              <w:rPr>
                <w:rFonts w:hint="eastAsia" w:ascii="宋体" w:hAnsi="宋体" w:eastAsia="宋体" w:cs="黑体"/>
                <w:color w:val="auto"/>
                <w:sz w:val="24"/>
                <w:szCs w:val="24"/>
                <w:highlight w:val="none"/>
                <w:lang w:val="en-US" w:eastAsia="zh-CN"/>
              </w:rPr>
              <w:t xml:space="preserve">天。基本无可视的病虫危害症状，被害面积≤</w:t>
            </w:r>
            <w:r>
              <w:rPr>
                <w:rFonts w:hint="default" w:ascii="宋体" w:hAnsi="宋体" w:eastAsia="宋体" w:cs="黑体"/>
                <w:color w:val="auto"/>
                <w:sz w:val="24"/>
                <w:szCs w:val="24"/>
                <w:highlight w:val="none"/>
                <w:lang w:val="en-US" w:eastAsia="zh-CN"/>
              </w:rPr>
              <w:t xml:space="preserve">5%</w:t>
            </w:r>
            <w:r>
              <w:rPr>
                <w:rFonts w:hint="eastAsia" w:ascii="宋体" w:hAnsi="宋体" w:eastAsia="宋体" w:cs="黑体"/>
                <w:color w:val="auto"/>
                <w:sz w:val="24"/>
                <w:szCs w:val="24"/>
                <w:highlight w:val="none"/>
                <w:lang w:val="en-US" w:eastAsia="zh-CN"/>
              </w:rPr>
              <w:t xml:space="preserve">，地下害虫≤</w:t>
            </w:r>
            <w:r>
              <w:rPr>
                <w:rFonts w:hint="default" w:ascii="宋体" w:hAnsi="宋体" w:eastAsia="宋体" w:cs="黑体"/>
                <w:color w:val="auto"/>
                <w:sz w:val="24"/>
                <w:szCs w:val="24"/>
                <w:highlight w:val="none"/>
                <w:lang w:val="en-US" w:eastAsia="zh-CN"/>
              </w:rPr>
              <w:t xml:space="preserve">5</w:t>
            </w:r>
            <w:r>
              <w:rPr>
                <w:rFonts w:hint="eastAsia" w:ascii="宋体" w:hAnsi="宋体" w:eastAsia="宋体" w:cs="黑体"/>
                <w:color w:val="auto"/>
                <w:sz w:val="24"/>
                <w:szCs w:val="24"/>
                <w:highlight w:val="none"/>
                <w:lang w:val="en-US" w:eastAsia="zh-CN"/>
              </w:rPr>
              <w:t xml:space="preserve">头</w:t>
            </w:r>
            <w:r>
              <w:rPr>
                <w:rFonts w:hint="default" w:ascii="宋体" w:hAnsi="宋体" w:eastAsia="宋体" w:cs="黑体"/>
                <w:color w:val="auto"/>
                <w:sz w:val="24"/>
                <w:szCs w:val="24"/>
                <w:highlight w:val="none"/>
                <w:lang w:val="en-US" w:eastAsia="zh-CN"/>
              </w:rPr>
              <w:t xml:space="preserve">/m2 </w:t>
            </w:r>
            <w:r>
              <w:rPr>
                <w:rFonts w:hint="eastAsia" w:ascii="宋体" w:hAnsi="宋体" w:eastAsia="宋体" w:cs="黑体"/>
                <w:color w:val="auto"/>
                <w:sz w:val="24"/>
                <w:szCs w:val="24"/>
                <w:highlight w:val="none"/>
                <w:lang w:val="en-US" w:eastAsia="zh-CN"/>
              </w:rPr>
              <w:t xml:space="preserve">。</w:t>
            </w:r>
            <w:r/>
          </w:p>
        </w:tc>
      </w:tr>
      <w:tr>
        <w:trPr>
          <w:cantSplit/>
          <w:jc w:val="center"/>
          <w:trHeight w:val="1526"/>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200"/>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地被</w:t>
            </w:r>
            <w:r>
              <w:rPr>
                <w:rFonts w:hint="eastAsia" w:ascii="宋体" w:hAnsi="宋体" w:eastAsia="宋体" w:cs="黑体"/>
                <w:color w:val="auto"/>
                <w:sz w:val="24"/>
                <w:szCs w:val="24"/>
                <w:highlight w:val="none"/>
              </w:rPr>
              <w:t xml:space="preserve">花卉</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jc w:val="left"/>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多年生地被植物（含花境）和露地一、二年生花卉栽植轮廓较清晰、美观，覆盖率</w:t>
            </w:r>
            <w:r>
              <w:rPr>
                <w:rFonts w:hint="default" w:ascii="宋体" w:hAnsi="宋体" w:eastAsia="宋体" w:cs="黑体"/>
                <w:color w:val="auto"/>
                <w:sz w:val="24"/>
                <w:szCs w:val="24"/>
                <w:highlight w:val="none"/>
                <w:lang w:val="en-US" w:eastAsia="zh-CN"/>
              </w:rPr>
              <w:t xml:space="preserve">98%</w:t>
            </w:r>
            <w:r>
              <w:rPr>
                <w:rFonts w:hint="eastAsia" w:ascii="宋体" w:hAnsi="宋体" w:eastAsia="宋体" w:cs="黑体"/>
                <w:color w:val="auto"/>
                <w:sz w:val="24"/>
                <w:szCs w:val="24"/>
                <w:highlight w:val="none"/>
                <w:lang w:val="en-US" w:eastAsia="zh-CN"/>
              </w:rPr>
              <w:t xml:space="preserve">以上。无明显残缺、残花、残叶、杂草等，残花量不大于</w:t>
            </w:r>
            <w:r>
              <w:rPr>
                <w:rFonts w:hint="default" w:ascii="宋体" w:hAnsi="宋体" w:eastAsia="宋体" w:cs="黑体"/>
                <w:color w:val="auto"/>
                <w:sz w:val="24"/>
                <w:szCs w:val="24"/>
                <w:highlight w:val="none"/>
                <w:lang w:val="en-US" w:eastAsia="zh-CN"/>
              </w:rPr>
              <w:t xml:space="preserve">15%</w:t>
            </w:r>
            <w:r>
              <w:rPr>
                <w:rFonts w:hint="eastAsia" w:ascii="宋体" w:hAnsi="宋体" w:eastAsia="宋体" w:cs="黑体"/>
                <w:color w:val="auto"/>
                <w:sz w:val="24"/>
                <w:szCs w:val="24"/>
                <w:highlight w:val="none"/>
                <w:lang w:val="en-US" w:eastAsia="zh-CN"/>
              </w:rPr>
              <w:t xml:space="preserve">。基本无可视的病虫危害症状，被害面积≤</w:t>
            </w:r>
            <w:r>
              <w:rPr>
                <w:rFonts w:hint="default" w:ascii="宋体" w:hAnsi="宋体" w:eastAsia="宋体" w:cs="黑体"/>
                <w:color w:val="auto"/>
                <w:sz w:val="24"/>
                <w:szCs w:val="24"/>
                <w:highlight w:val="none"/>
                <w:lang w:val="en-US" w:eastAsia="zh-CN"/>
              </w:rPr>
              <w:t xml:space="preserve">5%</w:t>
            </w:r>
            <w:r>
              <w:rPr>
                <w:rFonts w:hint="eastAsia" w:ascii="宋体" w:hAnsi="宋体" w:eastAsia="宋体" w:cs="黑体"/>
                <w:color w:val="auto"/>
                <w:sz w:val="24"/>
                <w:szCs w:val="24"/>
                <w:highlight w:val="none"/>
                <w:lang w:val="en-US" w:eastAsia="zh-CN"/>
              </w:rPr>
              <w:t xml:space="preserve">，地下害虫≤</w:t>
            </w:r>
            <w:r>
              <w:rPr>
                <w:rFonts w:hint="default" w:ascii="宋体" w:hAnsi="宋体" w:eastAsia="宋体" w:cs="黑体"/>
                <w:color w:val="auto"/>
                <w:sz w:val="24"/>
                <w:szCs w:val="24"/>
                <w:highlight w:val="none"/>
                <w:lang w:val="en-US" w:eastAsia="zh-CN"/>
              </w:rPr>
              <w:t xml:space="preserve">5</w:t>
            </w:r>
            <w:r>
              <w:rPr>
                <w:rFonts w:hint="eastAsia" w:ascii="宋体" w:hAnsi="宋体" w:eastAsia="宋体" w:cs="黑体"/>
                <w:color w:val="auto"/>
                <w:sz w:val="24"/>
                <w:szCs w:val="24"/>
                <w:highlight w:val="none"/>
                <w:lang w:val="en-US" w:eastAsia="zh-CN"/>
              </w:rPr>
              <w:t xml:space="preserve">头</w:t>
            </w:r>
            <w:r>
              <w:rPr>
                <w:rFonts w:hint="default" w:ascii="宋体" w:hAnsi="宋体" w:eastAsia="宋体" w:cs="黑体"/>
                <w:color w:val="auto"/>
                <w:sz w:val="24"/>
                <w:szCs w:val="24"/>
                <w:highlight w:val="none"/>
                <w:lang w:val="en-US" w:eastAsia="zh-CN"/>
              </w:rPr>
              <w:t xml:space="preserve">/m2 </w:t>
            </w:r>
            <w:r>
              <w:rPr>
                <w:rFonts w:hint="eastAsia" w:ascii="宋体" w:hAnsi="宋体" w:eastAsia="宋体" w:cs="黑体"/>
                <w:color w:val="auto"/>
                <w:sz w:val="24"/>
                <w:szCs w:val="24"/>
                <w:highlight w:val="none"/>
                <w:lang w:val="en-US" w:eastAsia="zh-CN"/>
              </w:rPr>
              <w:t xml:space="preserve">。</w:t>
            </w:r>
            <w:r/>
          </w:p>
        </w:tc>
      </w:tr>
      <w:tr>
        <w:trPr>
          <w:cantSplit/>
          <w:jc w:val="center"/>
          <w:trHeight w:val="1005"/>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绿篱（模 </w:t>
            </w:r>
            <w:r/>
          </w:p>
          <w:p>
            <w:pPr>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纹、色块） </w:t>
            </w:r>
            <w:r/>
          </w:p>
          <w:p>
            <w:pPr>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等</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jc w:val="left"/>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lang w:val="en-US" w:eastAsia="zh-CN"/>
              </w:rPr>
              <w:t xml:space="preserve">绿篱、模纹和色块等修剪较及时，枝叶茂密，造型优美。基本无可视的病虫危害症状，被害株率≤</w:t>
            </w:r>
            <w:r>
              <w:rPr>
                <w:rFonts w:hint="default" w:ascii="宋体" w:hAnsi="宋体" w:eastAsia="宋体" w:cs="黑体"/>
                <w:color w:val="auto"/>
                <w:sz w:val="24"/>
                <w:szCs w:val="24"/>
                <w:highlight w:val="none"/>
                <w:lang w:val="en-US" w:eastAsia="zh-CN"/>
              </w:rPr>
              <w:t xml:space="preserve">5%</w:t>
            </w:r>
            <w:r>
              <w:rPr>
                <w:rFonts w:hint="eastAsia" w:ascii="宋体" w:hAnsi="宋体" w:eastAsia="宋体" w:cs="黑体"/>
                <w:color w:val="auto"/>
                <w:sz w:val="24"/>
                <w:szCs w:val="24"/>
                <w:highlight w:val="none"/>
                <w:lang w:val="en-US" w:eastAsia="zh-CN"/>
              </w:rPr>
              <w:t xml:space="preserve">。</w:t>
            </w:r>
            <w:r/>
          </w:p>
        </w:tc>
      </w:tr>
      <w:tr>
        <w:trPr>
          <w:cantSplit/>
          <w:jc w:val="center"/>
          <w:trHeight w:val="1526"/>
        </w:trPr>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200"/>
              <w:jc w:val="center"/>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混合花境</w:t>
            </w:r>
            <w:r/>
          </w:p>
        </w:tc>
        <w:tc>
          <w:tcPr>
            <w:tcBorders>
              <w:top w:val="single" w:color="auto" w:sz="4" w:space="0"/>
              <w:left w:val="single" w:color="auto" w:sz="4" w:space="0"/>
              <w:bottom w:val="single" w:color="auto" w:sz="4" w:space="0"/>
              <w:right w:val="single" w:color="auto" w:sz="4" w:space="0"/>
            </w:tcBorders>
            <w:tcW w:w="7120" w:type="dxa"/>
            <w:vAlign w:val="top"/>
            <w:textDirection w:val="lrTb"/>
            <w:noWrap w:val="false"/>
          </w:tcPr>
          <w:p>
            <w:pPr>
              <w:jc w:val="left"/>
              <w:spacing w:line="300" w:lineRule="auto"/>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花境养护要求：①花境养护设施量清单内品种数量及各品种种植面积要保持不变。②现有花境内木本、宿根</w:t>
            </w:r>
            <w:r>
              <w:rPr>
                <w:rFonts w:hint="eastAsia" w:ascii="宋体" w:hAnsi="宋体" w:cs="黑体"/>
                <w:color w:val="auto"/>
                <w:sz w:val="24"/>
                <w:szCs w:val="24"/>
                <w:highlight w:val="none"/>
                <w:lang w:eastAsia="zh-CN"/>
              </w:rPr>
              <w:t xml:space="preserve">（</w:t>
            </w:r>
            <w:r>
              <w:rPr>
                <w:rFonts w:hint="eastAsia" w:ascii="宋体" w:hAnsi="宋体" w:eastAsia="宋体" w:cs="黑体"/>
                <w:color w:val="auto"/>
                <w:sz w:val="24"/>
                <w:szCs w:val="24"/>
                <w:highlight w:val="none"/>
              </w:rPr>
              <w:t xml:space="preserve">球、块根</w:t>
            </w:r>
            <w:r>
              <w:rPr>
                <w:rFonts w:hint="eastAsia" w:ascii="宋体" w:hAnsi="宋体" w:cs="黑体"/>
                <w:color w:val="auto"/>
                <w:sz w:val="24"/>
                <w:szCs w:val="24"/>
                <w:highlight w:val="none"/>
                <w:lang w:eastAsia="zh-CN"/>
              </w:rPr>
              <w:t xml:space="preserve">）</w:t>
            </w:r>
            <w:r>
              <w:rPr>
                <w:rFonts w:hint="eastAsia" w:ascii="宋体" w:hAnsi="宋体" w:eastAsia="宋体" w:cs="黑体"/>
                <w:color w:val="auto"/>
                <w:sz w:val="24"/>
                <w:szCs w:val="24"/>
                <w:highlight w:val="none"/>
              </w:rPr>
              <w:t xml:space="preserve">花卉比例与布局、位置不能变。③生长正常，无病虫害，无残花败叶，按自然花期开花。</w:t>
            </w:r>
            <w:r/>
          </w:p>
        </w:tc>
      </w:tr>
    </w:tbl>
    <w:p>
      <w:pPr>
        <w:ind w:firstLine="48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2.防汛防台风要求</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（1）汛前准备：成立防汛领导小组，建立防汛通讯网络，落实抢险队伍，添置必需的防汛器材，以加强汛期抗险能力，做到召之即来。同时做好非汛期区域内全部绿地排水的疏通工作。</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（2）汛期抢险：安排人员加强值班，一旦预报有大到暴雨天气要组织人员外出巡查，并及时收听气象报告，做好气象、雨量记录。雨后，必须及时组织人员进行排水工作。</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（3）台风季节应由专人值班，并在出现灾害后及时（24小时内）处理完毕。</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（4）防雪灾准备及相应抢险措施同防汛抗台风要求。</w:t>
      </w:r>
      <w:r/>
    </w:p>
    <w:p>
      <w:pPr>
        <w:ind w:firstLine="480"/>
        <w:jc w:val="left"/>
        <w:spacing w:line="360" w:lineRule="auto"/>
        <w:widowControl w:val="off"/>
        <w:tabs>
          <w:tab w:val="left" w:pos="0" w:leader="none"/>
          <w:tab w:val="left" w:pos="1134"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3.绿地日常管理</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行道树修剪、打药水和绿化隔离带喷水除尘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r/>
    </w:p>
    <w:p>
      <w:pPr>
        <w:ind w:firstLine="240"/>
        <w:jc w:val="left"/>
        <w:spacing w:line="360" w:lineRule="auto"/>
        <w:widowControl w:val="off"/>
        <w:tabs>
          <w:tab w:val="left" w:pos="0" w:leader="none"/>
          <w:tab w:val="left" w:pos="1134" w:leader="none"/>
        </w:tabs>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）及时清理绿地内的枯枝落叶，确保绿地整洁、美观。</w:t>
      </w:r>
      <w:r/>
    </w:p>
    <w:p>
      <w:pPr>
        <w:ind w:firstLine="240"/>
        <w:jc w:val="left"/>
        <w:spacing w:line="360" w:lineRule="auto"/>
        <w:widowControl w:val="off"/>
        <w:tabs>
          <w:tab w:val="left" w:pos="0" w:leader="none"/>
          <w:tab w:val="left" w:pos="1134" w:leader="none"/>
        </w:tabs>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不得擅自变更绿地设施，</w:t>
      </w:r>
      <w:r>
        <w:rPr>
          <w:rFonts w:hint="eastAsia" w:ascii="宋体" w:hAnsi="宋体" w:eastAsia="宋体" w:cs="Times New Roman"/>
          <w:color w:val="auto"/>
          <w:sz w:val="24"/>
          <w:szCs w:val="24"/>
          <w:highlight w:val="none"/>
          <w:lang w:val="en-US" w:eastAsia="zh-CN" w:bidi="ar-SA"/>
        </w:rPr>
        <w:t xml:space="preserve">如需变更，需经</w:t>
      </w:r>
      <w:r>
        <w:rPr>
          <w:rFonts w:hint="eastAsia" w:ascii="宋体" w:hAnsi="宋体" w:eastAsia="宋体" w:cs="Times New Roman"/>
          <w:bCs/>
          <w:color w:val="auto"/>
          <w:sz w:val="24"/>
          <w:szCs w:val="24"/>
          <w:highlight w:val="none"/>
          <w:lang w:val="en-US" w:eastAsia="zh-CN" w:bidi="ar-SA"/>
        </w:rPr>
        <w:t xml:space="preserve">发包人同意，变更设施量报发包人备案。</w:t>
      </w:r>
      <w:r/>
    </w:p>
    <w:p>
      <w:pPr>
        <w:ind w:firstLine="48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4.单列专项质量：</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对单列专项的项目，承包人必须按发包人的具体指令要求实施。</w:t>
      </w:r>
      <w:r/>
    </w:p>
    <w:p>
      <w:pPr>
        <w:ind w:firstLine="48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5.文明安全养护要求</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（1）乙方应有安全员（</w:t>
      </w:r>
      <w:r>
        <w:rPr>
          <w:rFonts w:hint="eastAsia" w:ascii="宋体" w:hAnsi="宋体" w:cs="Times New Roman"/>
          <w:bCs/>
          <w:color w:val="auto"/>
          <w:sz w:val="24"/>
          <w:szCs w:val="24"/>
          <w:highlight w:val="none"/>
          <w:lang w:val="en-US" w:eastAsia="zh-CN" w:bidi="ar-SA"/>
        </w:rPr>
        <w:t xml:space="preserve">须</w:t>
      </w:r>
      <w:r>
        <w:rPr>
          <w:rFonts w:hint="eastAsia" w:ascii="宋体" w:hAnsi="宋体" w:eastAsia="宋体" w:cs="Times New Roman"/>
          <w:bCs/>
          <w:color w:val="auto"/>
          <w:sz w:val="24"/>
          <w:szCs w:val="24"/>
          <w:highlight w:val="none"/>
          <w:lang w:val="en-US" w:eastAsia="zh-CN" w:bidi="ar-SA"/>
        </w:rPr>
        <w:t xml:space="preserve">有上岗证书），并对施工人员进行安全教育并对施工设备和现场进行安全检查。</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（2）在夜间养护作业必须在作业地域内设置明显警戒标志，绿化养护人员必须穿反光背心。</w:t>
      </w:r>
      <w:r/>
    </w:p>
    <w:p>
      <w:pPr>
        <w:ind w:firstLine="240"/>
        <w:jc w:val="left"/>
        <w:spacing w:line="360" w:lineRule="auto"/>
        <w:widowControl w:val="off"/>
        <w:tabs>
          <w:tab w:val="left" w:pos="0" w:leader="none"/>
          <w:tab w:val="left" w:pos="1134"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（3）绿化养护作业时，应做到文明作业，随时保持道路的清洁、畅通，并由专人负责监管，以确保文明安全养护。</w:t>
      </w:r>
      <w:r/>
    </w:p>
    <w:p>
      <w:pPr>
        <w:ind w:firstLine="240"/>
        <w:jc w:val="left"/>
        <w:spacing w:line="360" w:lineRule="auto"/>
        <w:widowControl w:val="off"/>
        <w:tabs>
          <w:tab w:val="left" w:pos="0" w:leader="none"/>
          <w:tab w:val="left" w:pos="1134"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（4）应做到文明作业。</w:t>
      </w:r>
      <w:r/>
    </w:p>
    <w:p>
      <w:pPr>
        <w:ind w:firstLine="240"/>
        <w:jc w:val="left"/>
        <w:spacing w:line="360" w:lineRule="auto"/>
        <w:widowControl w:val="off"/>
        <w:tabs>
          <w:tab w:val="left" w:pos="0" w:leader="none"/>
          <w:tab w:val="left" w:pos="1134" w:leader="none"/>
        </w:tabs>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（5）养护期内发生安全事故所造成的一切责任和费用均由中标供应商承担。</w:t>
      </w:r>
      <w:r/>
    </w:p>
    <w:p>
      <w:pPr>
        <w:ind w:firstLine="232"/>
        <w:jc w:val="left"/>
        <w:spacing w:line="360" w:lineRule="auto"/>
        <w:widowControl w:val="off"/>
        <w:tabs>
          <w:tab w:val="left" w:pos="0" w:leader="none"/>
          <w:tab w:val="left" w:pos="113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（二）园林绿化废弃物要求：绿化养护产生的园林绿化废弃物应100%收集并运送至收集点或处置点。养护单位应优先使用本辖区内园林绿化有机废弃物资源化利用产品。</w:t>
      </w:r>
      <w:r/>
    </w:p>
    <w:p>
      <w:pPr>
        <w:ind w:firstLine="234"/>
        <w:jc w:val="left"/>
        <w:spacing w:line="360" w:lineRule="auto"/>
        <w:widowControl w:val="off"/>
        <w:tabs>
          <w:tab w:val="left" w:pos="0" w:leader="none"/>
          <w:tab w:val="left" w:pos="1134"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六、本项目验收标准：</w:t>
      </w:r>
      <w:r/>
    </w:p>
    <w:p>
      <w:pPr>
        <w:ind w:firstLine="48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（一）考核及奖惩办法</w:t>
      </w:r>
      <w:r/>
    </w:p>
    <w:p>
      <w:pPr>
        <w:ind w:firstLine="240"/>
        <w:jc w:val="left"/>
        <w:spacing w:line="360" w:lineRule="auto"/>
        <w:widowControl w:val="off"/>
        <w:tabs>
          <w:tab w:val="left" w:pos="0" w:leader="none"/>
          <w:tab w:val="left" w:pos="1134"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采购人对承包人在投标文件中的承诺进行考核，具体考核办法如下：依据《无锡市滨湖区区管绿地养护管理考核办法》，绿化养护质量日常考核得分必须达到85分及以上，如达不到要求，第一次书面通知并扣除当月养护经费的20％；如果第二次收到书面通知则扣除当月养护经费的50％，承包人连续2个月或一个合同年内累计有3个月考</w:t>
      </w:r>
      <w:r>
        <w:rPr>
          <w:rFonts w:hint="eastAsia" w:ascii="宋体" w:hAnsi="宋体" w:eastAsia="宋体" w:cs="Times New Roman"/>
          <w:bCs/>
          <w:color w:val="auto"/>
          <w:sz w:val="24"/>
          <w:szCs w:val="24"/>
          <w:highlight w:val="none"/>
          <w:lang w:val="en-US" w:eastAsia="zh-CN" w:bidi="ar-SA"/>
        </w:rPr>
        <w:t xml:space="preserve">核分低于85分的，以及月考综合得分低于80分的，则扣除当月全额养护经费，同时滨湖区城市管理局有权无条件单方面终止合同。</w:t>
      </w:r>
      <w:r/>
    </w:p>
    <w:p>
      <w:pPr>
        <w:ind w:firstLine="240"/>
        <w:jc w:val="left"/>
        <w:spacing w:line="360" w:lineRule="auto"/>
        <w:widowControl w:val="off"/>
        <w:tabs>
          <w:tab w:val="left" w:pos="0" w:leader="none"/>
          <w:tab w:val="left" w:pos="1134"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（2）依据《无锡市滨湖区区管绿地养护管理考核办法》，绿化养护质量年度考核综合得分作为年终合同经费拨付及考核扣款依据。</w:t>
      </w:r>
      <w:r/>
    </w:p>
    <w:p>
      <w:pPr>
        <w:ind w:firstLine="240"/>
        <w:jc w:val="left"/>
        <w:spacing w:line="360" w:lineRule="auto"/>
        <w:widowControl w:val="off"/>
        <w:tabs>
          <w:tab w:val="left" w:pos="0" w:leader="none"/>
          <w:tab w:val="left" w:pos="1134" w:leader="none"/>
        </w:tabs>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（3）合同期满后，养护承包方应提交完整的竣工图纸及设施量清单，采购人将通过第</w:t>
      </w:r>
      <w:r>
        <w:rPr>
          <w:rFonts w:hint="eastAsia" w:ascii="宋体" w:hAnsi="宋体" w:eastAsia="宋体" w:cs="Times New Roman"/>
          <w:bCs/>
          <w:color w:val="auto"/>
          <w:sz w:val="24"/>
          <w:szCs w:val="24"/>
          <w:highlight w:val="none"/>
          <w:lang w:val="en-US" w:eastAsia="zh-CN" w:bidi="ar-SA"/>
        </w:rPr>
        <w:t xml:space="preserve">三方对标段的设施量进行普查，若普查的设施量与承包方提交的不符，未达到《江苏省城市园林绿化养护管理规范及分级标准》养护等级标准，采购人有权对承包商进行考核。</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七、其他技术、服务等要求：</w:t>
      </w:r>
      <w:r/>
    </w:p>
    <w:p>
      <w:pPr>
        <w:ind w:firstLine="241"/>
        <w:jc w:val="left"/>
        <w:spacing w:line="360" w:lineRule="auto"/>
        <w:widowControl w:val="off"/>
        <w:tabs>
          <w:tab w:val="left" w:pos="0" w:leader="none"/>
          <w:tab w:val="left" w:pos="1134" w:leader="none"/>
        </w:tabs>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各标段养护作业人员投入人数满足最低作业人员配置要求及人工费占比：</w:t>
      </w:r>
      <w:r/>
    </w:p>
    <w:tbl>
      <w:tblPr>
        <w:tblStyle w:val="711"/>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auto"/>
        <w:tblLayout w:type="fixed"/>
        <w:tblCellMar>
          <w:left w:w="108" w:type="dxa"/>
          <w:top w:w="0" w:type="dxa"/>
          <w:right w:w="108" w:type="dxa"/>
          <w:bottom w:w="0" w:type="dxa"/>
        </w:tblCellMar>
        <w:tblLook w:val="04A0" w:firstRow="1" w:lastRow="0" w:firstColumn="1" w:lastColumn="0" w:noHBand="0" w:noVBand="1"/>
      </w:tblPr>
      <w:tblGrid>
        <w:gridCol w:w="888"/>
        <w:gridCol w:w="1136"/>
        <w:gridCol w:w="3390"/>
        <w:gridCol w:w="2712"/>
        <w:gridCol w:w="1531"/>
      </w:tblGrid>
      <w:tr>
        <w:trPr>
          <w:jc w:val="center"/>
          <w:trHeight w:val="720"/>
        </w:trPr>
        <w:tc>
          <w:tcPr>
            <w:shd w:val="clear" w:color="000000" w:fill="auto"/>
            <w:tcW w:w="888" w:type="dxa"/>
            <w:vAlign w:val="center"/>
            <w:textDirection w:val="lrTb"/>
            <w:noWrap w:val="false"/>
          </w:tcPr>
          <w:p>
            <w:pPr>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编号</w:t>
            </w:r>
            <w:r/>
          </w:p>
        </w:tc>
        <w:tc>
          <w:tcPr>
            <w:shd w:val="clear" w:color="000000" w:fill="auto"/>
            <w:tcW w:w="1136" w:type="dxa"/>
            <w:vAlign w:val="center"/>
            <w:textDirection w:val="lrTb"/>
            <w:noWrap w:val="false"/>
          </w:tcPr>
          <w:p>
            <w:pPr>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标段</w:t>
            </w:r>
            <w:r/>
          </w:p>
        </w:tc>
        <w:tc>
          <w:tcPr>
            <w:shd w:val="clear" w:color="000000" w:fill="auto"/>
            <w:tcW w:w="3390" w:type="dxa"/>
            <w:vAlign w:val="center"/>
            <w:textDirection w:val="lrTb"/>
            <w:noWrap w:val="false"/>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最低配置数量要求（人）</w:t>
            </w:r>
            <w:r/>
          </w:p>
        </w:tc>
        <w:tc>
          <w:tcPr>
            <w:shd w:val="clear" w:color="000000" w:fill="auto"/>
            <w:tcW w:w="2712" w:type="dxa"/>
            <w:vAlign w:val="center"/>
            <w:textDirection w:val="lrTb"/>
            <w:noWrap w:val="false"/>
          </w:tcPr>
          <w:p>
            <w:pPr>
              <w:ind w:firstLine="240"/>
              <w:jc w:val="center"/>
              <w:spacing w:line="360" w:lineRule="auto"/>
              <w:widowControl w:val="off"/>
              <w:tabs>
                <w:tab w:val="left" w:pos="0" w:leader="none"/>
                <w:tab w:val="left" w:pos="1134"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养护日期</w:t>
            </w:r>
            <w:r/>
          </w:p>
        </w:tc>
        <w:tc>
          <w:tcPr>
            <w:shd w:val="clear" w:color="000000" w:fill="auto"/>
            <w:tcW w:w="1531" w:type="dxa"/>
            <w:vAlign w:val="center"/>
            <w:textDirection w:val="lrTb"/>
            <w:noWrap w:val="false"/>
          </w:tcPr>
          <w:p>
            <w:pPr>
              <w:jc w:val="both"/>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人工费占比</w:t>
            </w:r>
            <w:r/>
          </w:p>
        </w:tc>
      </w:tr>
      <w:tr>
        <w:trPr>
          <w:jc w:val="center"/>
          <w:trHeight w:val="834"/>
        </w:trPr>
        <w:tc>
          <w:tcPr>
            <w:shd w:val="clear" w:color="000000" w:fill="auto"/>
            <w:tcW w:w="888" w:type="dxa"/>
            <w:vAlign w:val="center"/>
            <w:textDirection w:val="lrTb"/>
            <w:noWrap w:val="false"/>
          </w:tcPr>
          <w:p>
            <w:pPr>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shd w:val="clear" w:color="000000" w:fill="auto"/>
            <w:tcW w:w="1136" w:type="dxa"/>
            <w:vAlign w:val="center"/>
            <w:textDirection w:val="lrTb"/>
            <w:noWrap w:val="false"/>
          </w:tcPr>
          <w:p>
            <w:pPr>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一标段</w:t>
            </w:r>
            <w:r/>
          </w:p>
        </w:tc>
        <w:tc>
          <w:tcPr>
            <w:shd w:val="clear" w:color="000000" w:fill="auto"/>
            <w:tcW w:w="3390" w:type="dxa"/>
            <w:vAlign w:val="center"/>
            <w:textDirection w:val="lrTb"/>
            <w:noWrap w:val="false"/>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w:t>
            </w:r>
            <w:r/>
          </w:p>
        </w:tc>
        <w:tc>
          <w:tcPr>
            <w:shd w:val="clear" w:color="000000" w:fill="auto"/>
            <w:tcW w:w="2712" w:type="dxa"/>
            <w:vAlign w:val="center"/>
            <w:textDirection w:val="lrTb"/>
            <w:noWrap w:val="false"/>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年8月1日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年7月31日</w:t>
            </w:r>
            <w:r/>
          </w:p>
        </w:tc>
        <w:tc>
          <w:tcPr>
            <w:shd w:val="clear" w:color="000000" w:fill="auto"/>
            <w:tcW w:w="1531" w:type="dxa"/>
            <w:vAlign w:val="center"/>
            <w:textDirection w:val="lrTb"/>
            <w:noWrap/>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51.79%</w:t>
            </w:r>
            <w:r/>
          </w:p>
        </w:tc>
      </w:tr>
      <w:tr>
        <w:trPr>
          <w:jc w:val="center"/>
          <w:trHeight w:val="982"/>
        </w:trPr>
        <w:tc>
          <w:tcPr>
            <w:shd w:val="clear" w:color="000000" w:fill="auto"/>
            <w:tcW w:w="888" w:type="dxa"/>
            <w:vAlign w:val="center"/>
            <w:textDirection w:val="lrTb"/>
            <w:noWrap w:val="false"/>
          </w:tcPr>
          <w:p>
            <w:pPr>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w:t>
            </w:r>
            <w:r/>
          </w:p>
        </w:tc>
        <w:tc>
          <w:tcPr>
            <w:shd w:val="clear" w:color="000000" w:fill="auto"/>
            <w:tcW w:w="1136" w:type="dxa"/>
            <w:vAlign w:val="center"/>
            <w:textDirection w:val="lrTb"/>
            <w:noWrap w:val="false"/>
          </w:tcPr>
          <w:p>
            <w:pPr>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二标段</w:t>
            </w:r>
            <w:r/>
          </w:p>
        </w:tc>
        <w:tc>
          <w:tcPr>
            <w:shd w:val="clear" w:color="000000" w:fill="auto"/>
            <w:tcW w:w="3390" w:type="dxa"/>
            <w:vAlign w:val="center"/>
            <w:textDirection w:val="lrTb"/>
            <w:noWrap w:val="false"/>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w:t>
            </w:r>
            <w:r/>
          </w:p>
        </w:tc>
        <w:tc>
          <w:tcPr>
            <w:shd w:val="clear" w:color="000000" w:fill="auto"/>
            <w:tcW w:w="2712" w:type="dxa"/>
            <w:vAlign w:val="center"/>
            <w:textDirection w:val="lrTb"/>
            <w:noWrap w:val="false"/>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年8月1日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年7月31日</w:t>
            </w:r>
            <w:r/>
          </w:p>
        </w:tc>
        <w:tc>
          <w:tcPr>
            <w:shd w:val="clear" w:color="000000" w:fill="auto"/>
            <w:tcW w:w="1531" w:type="dxa"/>
            <w:vAlign w:val="center"/>
            <w:textDirection w:val="lrTb"/>
            <w:noWrap/>
          </w:tcPr>
          <w:p>
            <w:pPr>
              <w:ind w:firstLine="240"/>
              <w:jc w:val="center"/>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53.69%</w:t>
            </w:r>
            <w:r/>
          </w:p>
        </w:tc>
      </w:tr>
    </w:tbl>
    <w:p>
      <w:pPr>
        <w:ind w:firstLine="240"/>
        <w:jc w:val="left"/>
        <w:spacing w:line="360" w:lineRule="auto"/>
        <w:widowControl w:val="off"/>
        <w:tabs>
          <w:tab w:val="left" w:pos="0" w:leader="none"/>
          <w:tab w:val="left" w:pos="1134" w:leader="none"/>
        </w:tabs>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r>
      <w:r/>
    </w:p>
    <w:p>
      <w:pPr>
        <w:ind w:firstLine="480"/>
        <w:spacing w:line="360" w:lineRule="auto"/>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p>
      <w:pPr>
        <w:jc w:val="center"/>
        <w:spacing w:line="540" w:lineRule="exact"/>
        <w:rPr>
          <w:rFonts w:hint="eastAsia" w:ascii="宋体" w:hAnsi="宋体" w:eastAsia="黑体"/>
          <w:b/>
          <w:color w:val="auto"/>
          <w:sz w:val="44"/>
          <w:szCs w:val="44"/>
          <w:highlight w:val="none"/>
          <w:lang w:eastAsia="zh-CN"/>
        </w:rPr>
        <w:outlineLvl w:val="0"/>
      </w:pPr>
      <w:r>
        <w:rPr>
          <w:rFonts w:eastAsia="黑体"/>
          <w:bCs/>
          <w:color w:val="auto"/>
          <w:sz w:val="28"/>
          <w:szCs w:val="28"/>
          <w:highlight w:val="none"/>
        </w:rPr>
        <w:br w:type="page" w:clear="all"/>
      </w:r>
      <w:bookmarkStart w:id="7" w:name="_Toc14314"/>
      <w:r/>
      <w:bookmarkStart w:id="8" w:name="_Toc25311"/>
      <w:r>
        <w:rPr>
          <w:rFonts w:eastAsia="黑体"/>
          <w:bCs/>
          <w:color w:val="auto"/>
          <w:sz w:val="28"/>
          <w:szCs w:val="28"/>
          <w:highlight w:val="none"/>
        </w:rPr>
        <w:t xml:space="preserve">四</w:t>
      </w:r>
      <w:bookmarkEnd w:id="7"/>
      <w:r>
        <w:rPr>
          <w:rFonts w:hint="eastAsia" w:eastAsia="黑体"/>
          <w:bCs/>
          <w:color w:val="auto"/>
          <w:sz w:val="30"/>
          <w:szCs w:val="30"/>
          <w:highlight w:val="none"/>
          <w:lang w:eastAsia="zh-CN"/>
        </w:rPr>
        <w:t xml:space="preserve">、</w:t>
      </w:r>
      <w:r>
        <w:rPr>
          <w:rFonts w:hint="eastAsia" w:eastAsia="黑体"/>
          <w:bCs/>
          <w:color w:val="auto"/>
          <w:sz w:val="28"/>
          <w:szCs w:val="28"/>
          <w:highlight w:val="none"/>
        </w:rPr>
        <w:t xml:space="preserve">合同书</w:t>
      </w:r>
      <w:r>
        <w:rPr>
          <w:rFonts w:hint="eastAsia" w:eastAsia="黑体"/>
          <w:bCs/>
          <w:color w:val="auto"/>
          <w:sz w:val="28"/>
          <w:szCs w:val="28"/>
          <w:highlight w:val="none"/>
          <w:lang w:eastAsia="zh-CN"/>
        </w:rPr>
        <w:t xml:space="preserve">（</w:t>
      </w:r>
      <w:r>
        <w:rPr>
          <w:rFonts w:hint="eastAsia" w:eastAsia="黑体"/>
          <w:bCs/>
          <w:color w:val="auto"/>
          <w:sz w:val="28"/>
          <w:szCs w:val="28"/>
          <w:highlight w:val="none"/>
          <w:lang w:val="en-US" w:eastAsia="zh-CN"/>
        </w:rPr>
        <w:t xml:space="preserve">格式</w:t>
      </w:r>
      <w:r>
        <w:rPr>
          <w:rFonts w:hint="eastAsia" w:eastAsia="黑体"/>
          <w:bCs/>
          <w:color w:val="auto"/>
          <w:sz w:val="28"/>
          <w:szCs w:val="28"/>
          <w:highlight w:val="none"/>
          <w:lang w:eastAsia="zh-CN"/>
        </w:rPr>
        <w:t xml:space="preserve">）</w:t>
      </w:r>
      <w:bookmarkEnd w:id="8"/>
      <w:r/>
      <w:r/>
    </w:p>
    <w:p>
      <w:pPr>
        <w:jc w:val="center"/>
        <w:spacing w:line="540" w:lineRule="exact"/>
        <w:rPr>
          <w:rFonts w:hint="eastAsia" w:ascii="宋体" w:hAnsi="宋体"/>
          <w:b/>
          <w:color w:val="auto"/>
          <w:sz w:val="28"/>
          <w:szCs w:val="44"/>
          <w:highlight w:val="none"/>
        </w:rPr>
      </w:pPr>
      <w:r>
        <w:rPr>
          <w:rFonts w:hint="eastAsia" w:ascii="宋体" w:hAnsi="宋体"/>
          <w:b/>
          <w:color w:val="auto"/>
          <w:sz w:val="28"/>
          <w:szCs w:val="44"/>
          <w:highlight w:val="none"/>
        </w:rPr>
        <w:t xml:space="preserve">（一）合同协议书</w:t>
      </w:r>
      <w:r/>
    </w:p>
    <w:p>
      <w:pPr>
        <w:pStyle w:val="720"/>
        <w:spacing w:line="360" w:lineRule="auto"/>
        <w:rPr>
          <w:rFonts w:hint="eastAsia" w:hAnsi="宋体"/>
          <w:color w:val="auto"/>
          <w:sz w:val="24"/>
          <w:highlight w:val="none"/>
        </w:rPr>
      </w:pPr>
      <w:r>
        <w:rPr>
          <w:rFonts w:hint="eastAsia" w:hAnsi="宋体"/>
          <w:color w:val="auto"/>
          <w:sz w:val="24"/>
          <w:highlight w:val="none"/>
        </w:rPr>
        <w:t xml:space="preserve">发包人：</w:t>
      </w:r>
      <w:r>
        <w:rPr>
          <w:rFonts w:hint="eastAsia" w:hAnsi="宋体"/>
          <w:color w:val="auto"/>
          <w:sz w:val="24"/>
          <w:highlight w:val="none"/>
          <w:u w:val="single"/>
        </w:rPr>
        <w:t xml:space="preserve">   </w:t>
      </w:r>
      <w:r>
        <w:rPr>
          <w:rFonts w:hint="eastAsia" w:hAnsi="宋体"/>
          <w:b/>
          <w:bCs/>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u w:val="single"/>
          <w:lang w:eastAsia="zh-CN"/>
        </w:rPr>
        <w:t xml:space="preserve">（</w:t>
      </w:r>
      <w:r>
        <w:rPr>
          <w:rFonts w:hint="eastAsia" w:hAnsi="宋体"/>
          <w:color w:val="auto"/>
          <w:sz w:val="24"/>
          <w:highlight w:val="none"/>
        </w:rPr>
        <w:t xml:space="preserve">以下简称“甲方”</w:t>
      </w:r>
      <w:r>
        <w:rPr>
          <w:rFonts w:hint="eastAsia" w:hAnsi="宋体"/>
          <w:color w:val="auto"/>
          <w:sz w:val="24"/>
          <w:highlight w:val="none"/>
          <w:lang w:eastAsia="zh-CN"/>
        </w:rPr>
        <w:t xml:space="preserve">）</w:t>
      </w:r>
      <w:r/>
    </w:p>
    <w:p>
      <w:pPr>
        <w:pStyle w:val="720"/>
        <w:spacing w:line="360" w:lineRule="auto"/>
        <w:rPr>
          <w:rFonts w:hint="eastAsia" w:hAnsi="宋体"/>
          <w:color w:val="auto"/>
          <w:sz w:val="24"/>
          <w:highlight w:val="none"/>
        </w:rPr>
      </w:pPr>
      <w:r>
        <w:rPr>
          <w:rFonts w:hint="eastAsia" w:hAnsi="宋体"/>
          <w:color w:val="auto"/>
          <w:sz w:val="24"/>
          <w:highlight w:val="none"/>
        </w:rPr>
        <w:t xml:space="preserve">承包人：</w:t>
      </w:r>
      <w:r>
        <w:rPr>
          <w:rFonts w:hint="eastAsia" w:hAnsi="宋体"/>
          <w:color w:val="auto"/>
          <w:sz w:val="24"/>
          <w:highlight w:val="none"/>
          <w:u w:val="single"/>
        </w:rPr>
        <w:t xml:space="preserve">   </w:t>
      </w:r>
      <w:r>
        <w:rPr>
          <w:rFonts w:hint="eastAsia" w:hAnsi="宋体"/>
          <w:b/>
          <w:bCs/>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u w:val="single"/>
          <w:lang w:eastAsia="zh-CN"/>
        </w:rPr>
        <w:t xml:space="preserve">（</w:t>
      </w:r>
      <w:r>
        <w:rPr>
          <w:rFonts w:hint="eastAsia" w:hAnsi="宋体"/>
          <w:color w:val="auto"/>
          <w:sz w:val="24"/>
          <w:highlight w:val="none"/>
        </w:rPr>
        <w:t xml:space="preserve">以下简称“乙方”</w:t>
      </w:r>
      <w:r>
        <w:rPr>
          <w:rFonts w:hint="eastAsia" w:hAnsi="宋体"/>
          <w:color w:val="auto"/>
          <w:sz w:val="24"/>
          <w:highlight w:val="none"/>
          <w:lang w:eastAsia="zh-CN"/>
        </w:rPr>
        <w:t xml:space="preserve">）</w:t>
      </w:r>
      <w:r/>
    </w:p>
    <w:p>
      <w:pPr>
        <w:pStyle w:val="720"/>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根据《中华人民共和国</w:t>
      </w:r>
      <w:r>
        <w:rPr>
          <w:rFonts w:hint="eastAsia" w:hAnsi="宋体"/>
          <w:color w:val="auto"/>
          <w:sz w:val="24"/>
          <w:highlight w:val="none"/>
          <w:lang w:eastAsia="zh-CN"/>
        </w:rPr>
        <w:t xml:space="preserve">民法典</w:t>
      </w:r>
      <w:r>
        <w:rPr>
          <w:rFonts w:hint="eastAsia" w:hAnsi="宋体"/>
          <w:color w:val="auto"/>
          <w:sz w:val="24"/>
          <w:highlight w:val="none"/>
        </w:rPr>
        <w:t xml:space="preserve">》</w:t>
      </w:r>
      <w:r>
        <w:rPr>
          <w:rFonts w:hint="eastAsia" w:hAnsi="宋体"/>
          <w:color w:val="auto"/>
          <w:sz w:val="24"/>
          <w:highlight w:val="none"/>
          <w:lang w:eastAsia="zh-CN"/>
        </w:rPr>
        <w:t xml:space="preserve">，以及</w:t>
      </w:r>
      <w:r>
        <w:rPr>
          <w:rFonts w:hint="eastAsia" w:hAnsi="宋体"/>
          <w:color w:val="auto"/>
          <w:sz w:val="24"/>
          <w:highlight w:val="none"/>
        </w:rPr>
        <w:t xml:space="preserve">其他有关法律、行政法规，遵循平等、自愿、公平和诚实信用的原则，在双方承诺招标文件全部内容（含招标补充文件）和被认定的投标文件</w:t>
      </w:r>
      <w:r>
        <w:rPr>
          <w:rFonts w:hint="eastAsia" w:hAnsi="宋体"/>
          <w:color w:val="auto"/>
          <w:sz w:val="24"/>
          <w:highlight w:val="none"/>
          <w:lang w:eastAsia="zh-CN"/>
        </w:rPr>
        <w:t xml:space="preserve">（</w:t>
      </w:r>
      <w:r>
        <w:rPr>
          <w:rFonts w:hint="eastAsia" w:hAnsi="宋体"/>
          <w:color w:val="auto"/>
          <w:sz w:val="24"/>
          <w:highlight w:val="none"/>
        </w:rPr>
        <w:t xml:space="preserve">及补充说明</w:t>
      </w:r>
      <w:r>
        <w:rPr>
          <w:rFonts w:hint="eastAsia" w:hAnsi="宋体"/>
          <w:color w:val="auto"/>
          <w:sz w:val="24"/>
          <w:highlight w:val="none"/>
          <w:lang w:eastAsia="zh-CN"/>
        </w:rPr>
        <w:t xml:space="preserve">）</w:t>
      </w:r>
      <w:r>
        <w:rPr>
          <w:rFonts w:hint="eastAsia" w:hAnsi="宋体"/>
          <w:color w:val="auto"/>
          <w:sz w:val="24"/>
          <w:highlight w:val="none"/>
        </w:rPr>
        <w:t xml:space="preserve">全部内容的基础上，协商一致，订立本合同。</w:t>
      </w:r>
      <w:r/>
    </w:p>
    <w:p>
      <w:pPr>
        <w:pStyle w:val="720"/>
        <w:ind w:firstLine="525"/>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一、项目概况</w:t>
      </w:r>
      <w:r/>
    </w:p>
    <w:p>
      <w:pPr>
        <w:pStyle w:val="720"/>
        <w:ind w:firstLine="525"/>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项目名称：</w:t>
      </w:r>
      <w:r>
        <w:rPr>
          <w:rFonts w:hint="eastAsia" w:cs="宋体"/>
          <w:color w:val="auto"/>
          <w:sz w:val="24"/>
          <w:szCs w:val="24"/>
          <w:highlight w:val="none"/>
          <w:lang w:val="zh-CN"/>
        </w:rPr>
        <w:t xml:space="preserve">2026年滨湖区区管绿化老设施养护服务项目</w:t>
      </w:r>
      <w:r/>
    </w:p>
    <w:p>
      <w:pPr>
        <w:pStyle w:val="720"/>
        <w:ind w:firstLine="525"/>
        <w:keepLines w:val="0"/>
        <w:keepNext w:val="0"/>
        <w:pageBreakBefore w:val="0"/>
        <w:spacing w:line="360" w:lineRule="auto"/>
        <w:widowControl w:val="off"/>
        <w:rPr>
          <w:rFonts w:hint="eastAsia" w:hAnsi="宋体"/>
          <w:color w:val="auto"/>
          <w:sz w:val="24"/>
          <w:highlight w:val="none"/>
          <w:u w:val="single"/>
        </w:rPr>
      </w:pPr>
      <w:r>
        <w:rPr>
          <w:rFonts w:hint="eastAsia" w:hAnsi="宋体"/>
          <w:color w:val="auto"/>
          <w:sz w:val="24"/>
          <w:highlight w:val="none"/>
        </w:rPr>
        <w:t xml:space="preserve">养护内容：</w:t>
      </w:r>
      <w:r>
        <w:rPr>
          <w:rFonts w:hint="eastAsia" w:ascii="宋体" w:hAnsi="宋体"/>
          <w:color w:val="auto"/>
          <w:sz w:val="24"/>
          <w:highlight w:val="none"/>
          <w:u w:val="single"/>
        </w:rPr>
        <w:t xml:space="preserve">   养护范围内所有的绿化苗木及附属设施</w:t>
      </w:r>
      <w:r/>
    </w:p>
    <w:p>
      <w:pPr>
        <w:pStyle w:val="720"/>
        <w:ind w:firstLine="523"/>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二、承包范围：</w:t>
      </w:r>
      <w:r>
        <w:rPr>
          <w:rFonts w:hint="eastAsia" w:hAnsi="宋体"/>
          <w:color w:val="auto"/>
          <w:sz w:val="24"/>
          <w:highlight w:val="none"/>
          <w:u w:val="single"/>
          <w:lang w:val="en-US" w:eastAsia="zh-CN"/>
        </w:rPr>
        <w:t xml:space="preserve">    </w:t>
      </w:r>
      <w:r>
        <w:rPr>
          <w:rFonts w:hAnsi="宋体"/>
          <w:color w:val="auto"/>
          <w:sz w:val="24"/>
          <w:highlight w:val="none"/>
          <w:u w:val="single"/>
        </w:rPr>
        <w:t xml:space="preserve">                 </w:t>
      </w:r>
      <w:r/>
    </w:p>
    <w:p>
      <w:pPr>
        <w:pStyle w:val="720"/>
        <w:ind w:firstLine="480"/>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三、养护期限：</w:t>
      </w:r>
      <w:r/>
    </w:p>
    <w:p>
      <w:pPr>
        <w:pStyle w:val="720"/>
        <w:ind w:firstLine="527"/>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开始日期： </w:t>
      </w:r>
      <w:r>
        <w:rPr>
          <w:rFonts w:hAnsi="宋体"/>
          <w:color w:val="auto"/>
          <w:sz w:val="24"/>
          <w:highlight w:val="none"/>
        </w:rPr>
        <w:t xml:space="preserve">    </w:t>
      </w:r>
      <w:r>
        <w:rPr>
          <w:rFonts w:hint="eastAsia" w:hAnsi="宋体"/>
          <w:color w:val="auto"/>
          <w:sz w:val="24"/>
          <w:highlight w:val="none"/>
        </w:rPr>
        <w:t xml:space="preserve">年</w:t>
      </w:r>
      <w:r>
        <w:rPr>
          <w:rFonts w:hAnsi="宋体"/>
          <w:color w:val="auto"/>
          <w:sz w:val="24"/>
          <w:highlight w:val="none"/>
        </w:rPr>
        <w:t xml:space="preserve">  </w:t>
      </w:r>
      <w:r>
        <w:rPr>
          <w:rFonts w:hint="eastAsia" w:hAnsi="宋体"/>
          <w:color w:val="auto"/>
          <w:sz w:val="24"/>
          <w:highlight w:val="none"/>
        </w:rPr>
        <w:t xml:space="preserve">月</w:t>
      </w:r>
      <w:r>
        <w:rPr>
          <w:rFonts w:hAnsi="宋体"/>
          <w:color w:val="auto"/>
          <w:sz w:val="24"/>
          <w:highlight w:val="none"/>
        </w:rPr>
        <w:t xml:space="preserve">   </w:t>
      </w:r>
      <w:r>
        <w:rPr>
          <w:rFonts w:hint="eastAsia" w:hAnsi="宋体"/>
          <w:color w:val="auto"/>
          <w:sz w:val="24"/>
          <w:highlight w:val="none"/>
        </w:rPr>
        <w:t xml:space="preserve">日               </w:t>
      </w:r>
      <w:r/>
    </w:p>
    <w:p>
      <w:pPr>
        <w:pStyle w:val="720"/>
        <w:ind w:firstLine="527"/>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结束日期：</w:t>
      </w:r>
      <w:r>
        <w:rPr>
          <w:rFonts w:hAnsi="宋体"/>
          <w:color w:val="auto"/>
          <w:sz w:val="24"/>
          <w:highlight w:val="none"/>
        </w:rPr>
        <w:t xml:space="preserve">     </w:t>
      </w:r>
      <w:r>
        <w:rPr>
          <w:rFonts w:hint="eastAsia" w:hAnsi="宋体"/>
          <w:color w:val="auto"/>
          <w:sz w:val="24"/>
          <w:highlight w:val="none"/>
        </w:rPr>
        <w:t xml:space="preserve">年</w:t>
      </w:r>
      <w:r>
        <w:rPr>
          <w:rFonts w:hAnsi="宋体"/>
          <w:color w:val="auto"/>
          <w:sz w:val="24"/>
          <w:highlight w:val="none"/>
        </w:rPr>
        <w:t xml:space="preserve">  </w:t>
      </w:r>
      <w:r>
        <w:rPr>
          <w:rFonts w:hint="eastAsia" w:hAnsi="宋体"/>
          <w:color w:val="auto"/>
          <w:sz w:val="24"/>
          <w:highlight w:val="none"/>
        </w:rPr>
        <w:t xml:space="preserve">月</w:t>
      </w:r>
      <w:r>
        <w:rPr>
          <w:rFonts w:hAnsi="宋体"/>
          <w:color w:val="auto"/>
          <w:sz w:val="24"/>
          <w:highlight w:val="none"/>
        </w:rPr>
        <w:t xml:space="preserve">   </w:t>
      </w:r>
      <w:r>
        <w:rPr>
          <w:rFonts w:hint="eastAsia" w:hAnsi="宋体"/>
          <w:color w:val="auto"/>
          <w:sz w:val="24"/>
          <w:highlight w:val="none"/>
        </w:rPr>
        <w:t xml:space="preserve">日                          </w:t>
      </w:r>
      <w:r/>
    </w:p>
    <w:p>
      <w:pPr>
        <w:pStyle w:val="720"/>
        <w:ind w:firstLine="480"/>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养护期限总年数：</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年。</w:t>
      </w:r>
      <w:r/>
    </w:p>
    <w:p>
      <w:pPr>
        <w:pStyle w:val="720"/>
        <w:ind w:firstLine="527"/>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四、承包期</w:t>
      </w:r>
      <w:r/>
    </w:p>
    <w:p>
      <w:pPr>
        <w:pStyle w:val="720"/>
        <w:ind w:firstLine="525"/>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日起至</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日，为</w:t>
      </w:r>
      <w:r>
        <w:rPr>
          <w:rFonts w:hint="eastAsia" w:hAnsi="宋体"/>
          <w:color w:val="auto"/>
          <w:sz w:val="24"/>
          <w:highlight w:val="none"/>
          <w:u w:val="single"/>
        </w:rPr>
        <w:t xml:space="preserve">     </w:t>
      </w:r>
      <w:r>
        <w:rPr>
          <w:rFonts w:hint="eastAsia" w:hAnsi="宋体"/>
          <w:color w:val="auto"/>
          <w:sz w:val="24"/>
          <w:highlight w:val="none"/>
        </w:rPr>
        <w:t xml:space="preserve">个月，养护总历时天数：</w:t>
      </w:r>
      <w:r>
        <w:rPr>
          <w:rFonts w:hint="eastAsia" w:hAnsi="宋体"/>
          <w:color w:val="auto"/>
          <w:sz w:val="24"/>
          <w:highlight w:val="none"/>
          <w:u w:val="single"/>
        </w:rPr>
        <w:t xml:space="preserve">      </w:t>
      </w:r>
      <w:r>
        <w:rPr>
          <w:rFonts w:hint="eastAsia" w:hAnsi="宋体"/>
          <w:color w:val="auto"/>
          <w:sz w:val="24"/>
          <w:highlight w:val="none"/>
        </w:rPr>
        <w:t xml:space="preserve">天；</w:t>
      </w:r>
      <w:r/>
    </w:p>
    <w:p>
      <w:pPr>
        <w:pStyle w:val="720"/>
        <w:ind w:firstLine="527"/>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五、承包方式</w:t>
      </w:r>
      <w:r/>
    </w:p>
    <w:p>
      <w:pPr>
        <w:pStyle w:val="720"/>
        <w:ind w:firstLine="480"/>
        <w:keepLines w:val="0"/>
        <w:keepNext w:val="0"/>
        <w:pageBreakBefore w:val="0"/>
        <w:spacing w:line="360" w:lineRule="auto"/>
        <w:widowControl w:val="off"/>
        <w:rPr>
          <w:rFonts w:hAnsi="宋体" w:cs="宋体"/>
          <w:color w:val="auto"/>
          <w:sz w:val="24"/>
          <w:szCs w:val="24"/>
          <w:highlight w:val="none"/>
        </w:rPr>
      </w:pPr>
      <w:r>
        <w:rPr>
          <w:rFonts w:hAnsi="宋体" w:cs="宋体"/>
          <w:color w:val="auto"/>
          <w:sz w:val="24"/>
          <w:szCs w:val="24"/>
          <w:highlight w:val="none"/>
        </w:rPr>
        <w:t xml:space="preserve">本项目由</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以包工、包料、包质量、包安全、包文明施工的方式实施总承包，</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应对全部养护工程负责，中标以后未经</w:t>
      </w:r>
      <w:r>
        <w:rPr>
          <w:rFonts w:hint="eastAsia" w:hAnsi="宋体" w:cs="宋体"/>
          <w:color w:val="auto"/>
          <w:sz w:val="24"/>
          <w:szCs w:val="24"/>
          <w:highlight w:val="none"/>
        </w:rPr>
        <w:t xml:space="preserve">发包人</w:t>
      </w:r>
      <w:r>
        <w:rPr>
          <w:rFonts w:hAnsi="宋体" w:cs="宋体"/>
          <w:color w:val="auto"/>
          <w:sz w:val="24"/>
          <w:szCs w:val="24"/>
          <w:highlight w:val="none"/>
        </w:rPr>
        <w:t xml:space="preserve">同意，不得擅自分包、转包。如</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有擅自分包、转包行为，</w:t>
      </w:r>
      <w:r>
        <w:rPr>
          <w:rFonts w:hint="eastAsia" w:hAnsi="宋体" w:cs="宋体"/>
          <w:color w:val="auto"/>
          <w:sz w:val="24"/>
          <w:szCs w:val="24"/>
          <w:highlight w:val="none"/>
        </w:rPr>
        <w:t xml:space="preserve">发包人</w:t>
      </w:r>
      <w:r>
        <w:rPr>
          <w:rFonts w:hAnsi="宋体" w:cs="宋体"/>
          <w:color w:val="auto"/>
          <w:sz w:val="24"/>
          <w:szCs w:val="24"/>
          <w:highlight w:val="none"/>
        </w:rPr>
        <w:t xml:space="preserve">单方有权立即终止综合养护工程承包合同，由此产生一切法律责任和经济损失均由</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承担。</w:t>
      </w:r>
      <w:r/>
    </w:p>
    <w:p>
      <w:pPr>
        <w:pStyle w:val="720"/>
        <w:ind w:firstLine="480"/>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t xml:space="preserve">六、养护质量标准</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本项目养护质量标准：</w:t>
      </w:r>
      <w:r>
        <w:rPr>
          <w:rFonts w:hint="eastAsia" w:ascii="宋体" w:hAnsi="宋体" w:eastAsia="宋体" w:cs="Times New Roman"/>
          <w:color w:val="auto"/>
          <w:sz w:val="24"/>
          <w:szCs w:val="24"/>
          <w:highlight w:val="none"/>
          <w:u w:val="single"/>
        </w:rPr>
        <w:t xml:space="preserve">按《江苏省城市园林绿化养护管理规范及分级标准》要求进行养护，养护等级为江苏省城市绿地养护管理</w:t>
      </w:r>
      <w:r>
        <w:rPr>
          <w:rFonts w:hint="eastAsia" w:ascii="宋体" w:hAnsi="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级标准。</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六、合同价款</w:t>
      </w:r>
      <w:r/>
    </w:p>
    <w:p>
      <w:pPr>
        <w:spacing w:line="460" w:lineRule="exac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金  额：</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大写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人民币</w:t>
      </w:r>
      <w:r>
        <w:rPr>
          <w:rFonts w:hint="eastAsia" w:ascii="宋体" w:hAnsi="宋体" w:eastAsia="宋体" w:cs="Times New Roman"/>
          <w:color w:val="auto"/>
          <w:sz w:val="24"/>
          <w:szCs w:val="24"/>
          <w:highlight w:val="none"/>
          <w:u w:val="single"/>
          <w:lang w:eastAsia="zh-CN"/>
        </w:rPr>
        <w:t xml:space="preserve">）</w:t>
      </w:r>
      <w:r/>
    </w:p>
    <w:p>
      <w:pPr>
        <w:ind w:firstLine="720"/>
        <w:spacing w:line="460" w:lineRule="exac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元</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七、组成合同的文件</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（一）组成本合同的文件包括</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（1）本合同协议书</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（2）中标通知书</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（3）投标书及附件</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（4）本合同协议条款</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（5）标准、规范及有关技术文件</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（二）双方有关养护工作的洽商、变更等书面协议或文件视为本合同的组成部分。</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八、承包人向发包人承诺按照合同约定开展养护。</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九、发包人承诺按照合同约定的期限和方式支付合同价款及其他应当支付的款项。 </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十、本合同双方约定甲乙双方签字盖章后生效，至养护期满、验收合格、价款结清自行终止。</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盖章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承包人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盖章</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派驻现场代表：                             派驻现场代表：                    </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                                   电   话：                        </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                                   地   址：                   </w:t>
      </w:r>
      <w:r/>
    </w:p>
    <w:p>
      <w:pPr>
        <w:ind w:firstLine="96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月   日                               年   月   日   </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见证方： （盖章） </w:t>
      </w:r>
      <w:r/>
    </w:p>
    <w:p>
      <w:p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月   日</w:t>
      </w:r>
      <w:r/>
    </w:p>
    <w:p>
      <w:pPr>
        <w:jc w:val="left"/>
        <w:rPr>
          <w:rFonts w:hint="eastAsia" w:ascii="黑体" w:hAnsi="宋体" w:eastAsia="黑体"/>
          <w:b/>
          <w:color w:val="auto"/>
          <w:sz w:val="28"/>
          <w:szCs w:val="28"/>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供需双方必须以本格式文本拟订合同。</w:t>
      </w:r>
      <w:r/>
    </w:p>
    <w:p>
      <w:pPr>
        <w:rPr>
          <w:rFonts w:hint="eastAsia" w:ascii="宋体" w:hAnsi="宋体"/>
          <w:b/>
          <w:color w:val="auto"/>
          <w:sz w:val="28"/>
          <w:szCs w:val="44"/>
          <w:highlight w:val="none"/>
        </w:rPr>
      </w:pPr>
      <w:r>
        <w:rPr>
          <w:rFonts w:hint="eastAsia" w:ascii="宋体" w:hAnsi="宋体"/>
          <w:b/>
          <w:color w:val="auto"/>
          <w:sz w:val="28"/>
          <w:szCs w:val="44"/>
          <w:highlight w:val="none"/>
        </w:rPr>
        <w:br w:type="page" w:clear="all"/>
      </w:r>
      <w:r/>
    </w:p>
    <w:p>
      <w:pPr>
        <w:jc w:val="center"/>
        <w:spacing w:line="540" w:lineRule="exact"/>
        <w:rPr>
          <w:rFonts w:hint="eastAsia" w:ascii="宋体" w:hAnsi="宋体"/>
          <w:b/>
          <w:color w:val="auto"/>
          <w:sz w:val="28"/>
          <w:szCs w:val="44"/>
          <w:highlight w:val="none"/>
        </w:rPr>
        <w:outlineLvl w:val="0"/>
      </w:pPr>
      <w:r/>
      <w:bookmarkStart w:id="9" w:name="_Toc16869"/>
      <w:r>
        <w:rPr>
          <w:rFonts w:hint="eastAsia" w:ascii="宋体" w:hAnsi="宋体"/>
          <w:b/>
          <w:color w:val="auto"/>
          <w:sz w:val="28"/>
          <w:szCs w:val="44"/>
          <w:highlight w:val="none"/>
          <w:lang w:val="en-US" w:eastAsia="zh-CN"/>
        </w:rPr>
        <w:t xml:space="preserve">五</w:t>
      </w:r>
      <w:r>
        <w:rPr>
          <w:rFonts w:hint="eastAsia" w:eastAsia="黑体"/>
          <w:bCs/>
          <w:color w:val="auto"/>
          <w:sz w:val="30"/>
          <w:szCs w:val="30"/>
          <w:highlight w:val="none"/>
          <w:lang w:eastAsia="zh-CN"/>
        </w:rPr>
        <w:t xml:space="preserve">、</w:t>
      </w:r>
      <w:r>
        <w:rPr>
          <w:rFonts w:hint="eastAsia" w:ascii="宋体" w:hAnsi="宋体"/>
          <w:b/>
          <w:color w:val="auto"/>
          <w:sz w:val="28"/>
          <w:szCs w:val="44"/>
          <w:highlight w:val="none"/>
        </w:rPr>
        <w:t xml:space="preserve">合同条款（格式）</w:t>
      </w:r>
      <w:bookmarkEnd w:id="9"/>
      <w:r/>
      <w:r/>
    </w:p>
    <w:p>
      <w:pPr>
        <w:pStyle w:val="722"/>
        <w:ind w:left="0" w:firstLine="0"/>
        <w:jc w:val="cente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一、词语涵义</w:t>
      </w:r>
      <w:r/>
    </w:p>
    <w:p>
      <w:pPr>
        <w:pStyle w:val="720"/>
        <w:ind w:firstLine="48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1甲方代表</w:t>
      </w:r>
      <w:r/>
    </w:p>
    <w:p>
      <w:pPr>
        <w:pStyle w:val="720"/>
        <w:ind w:firstLine="48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甲方指派 </w:t>
      </w:r>
      <w:r>
        <w:rPr>
          <w:rFonts w:hint="eastAsia" w:hAnsi="宋体"/>
          <w:color w:val="auto"/>
          <w:sz w:val="24"/>
          <w:szCs w:val="24"/>
          <w:highlight w:val="none"/>
          <w:u w:val="single"/>
        </w:rPr>
        <w:t xml:space="preserve"> </w:t>
      </w:r>
      <w:r>
        <w:rPr>
          <w:rFonts w:hint="eastAsia" w:hAnsi="宋体"/>
          <w:b/>
          <w:bCs/>
          <w:color w:val="auto"/>
          <w:sz w:val="24"/>
          <w:szCs w:val="24"/>
          <w:highlight w:val="none"/>
          <w:u w:val="single"/>
        </w:rPr>
        <w:t xml:space="preserve">滨湖区城管局市政</w:t>
      </w:r>
      <w:r>
        <w:rPr>
          <w:rFonts w:hint="eastAsia" w:hAnsi="宋体"/>
          <w:b/>
          <w:bCs/>
          <w:color w:val="auto"/>
          <w:sz w:val="24"/>
          <w:szCs w:val="24"/>
          <w:highlight w:val="none"/>
          <w:u w:val="single"/>
          <w:lang w:eastAsia="zh-CN"/>
        </w:rPr>
        <w:t xml:space="preserve">绿化管理</w:t>
      </w:r>
      <w:r>
        <w:rPr>
          <w:rFonts w:hint="eastAsia" w:hAnsi="宋体"/>
          <w:b/>
          <w:bCs/>
          <w:color w:val="auto"/>
          <w:sz w:val="24"/>
          <w:szCs w:val="24"/>
          <w:highlight w:val="none"/>
          <w:u w:val="single"/>
          <w:lang w:val="en-US" w:eastAsia="zh-CN"/>
        </w:rPr>
        <w:t xml:space="preserve">科</w:t>
      </w:r>
      <w:r>
        <w:rPr>
          <w:rFonts w:hint="eastAsia" w:hAnsi="宋体"/>
          <w:b/>
          <w:bCs/>
          <w:color w:val="auto"/>
          <w:sz w:val="24"/>
          <w:szCs w:val="24"/>
          <w:highlight w:val="none"/>
          <w:u w:val="single"/>
        </w:rPr>
        <w:t xml:space="preserve">  </w:t>
      </w:r>
      <w:r>
        <w:rPr>
          <w:rFonts w:hint="eastAsia" w:hAnsi="宋体"/>
          <w:color w:val="auto"/>
          <w:sz w:val="24"/>
          <w:szCs w:val="24"/>
          <w:highlight w:val="none"/>
        </w:rPr>
        <w:t xml:space="preserve">为派驻现场代表，全面负责日常养护作业的管理工作。</w:t>
      </w:r>
      <w:r/>
    </w:p>
    <w:p>
      <w:pPr>
        <w:pStyle w:val="720"/>
        <w:ind w:firstLine="48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2乙方代表</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乙方指派</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为绿地养护项目经理，具体负责本养护标段作业工作，同时成立绿化养护项目部，并用书面材料报甲方备案。</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2.2 项目负责人等有关人员必须按时参加由甲方召开的养护例会和各种必须参加的会议。</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2.3 乙方如需更换项目负责人，应至少提前5天以书面形式通知甲方，并征得甲方同意。后任继续行使合同文件约定的前任的职权，履行前任的义务。</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2.4 甲方可以与乙方协商，建议更换其认为不称职的项目负责人。</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甲方工作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3.1 负责向乙方提供中标绿地的有关资料。</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3.2 组织召开养护作业技术交底会。</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3.3负责开展事前绩效评估，负责乙方的日常养护作业的管理和检查，并定期对乙方的养护服务实施情况开展绩效评价。负责乙方的日常养护作业的管理和检查</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定期检查和抽查相结合</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。每月底对乙方作出下月度养护工作计划布置和对当月度养护工作进行考核，考核按有关养护工作考核标准结合甲方养护工作计划要求综合进行，合同期满综合考核考评。</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3.4甲方每月对乙方的养护质量进行检查考核。按本合同有关条款，支付相应养护经费。</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3.5 如遇突发事件，协调乙方在作业过程中与其他管理部门的关系。</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3.6 若乙方违反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无锡市滨湖区区管绿地养护管理考核办法》</w:t>
      </w:r>
      <w:r>
        <w:rPr>
          <w:rFonts w:hint="eastAsia" w:ascii="宋体" w:hAnsi="宋体" w:eastAsia="宋体" w:cs="Times New Roman"/>
          <w:color w:val="auto"/>
          <w:sz w:val="24"/>
          <w:szCs w:val="24"/>
          <w:highlight w:val="none"/>
        </w:rPr>
        <w:t xml:space="preserve">及招标文件等有关规定而被解除承包合同的，滨湖区城市管理局根据招标文件执行。</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3.7 在合同期内，因政府需要征用、改造、临时占用绿地等需要调整乙方管护绿化地段（范围）和管护等级时，乙方必须无条</w:t>
      </w:r>
      <w:r>
        <w:rPr>
          <w:rFonts w:hint="eastAsia" w:ascii="宋体" w:hAnsi="宋体" w:eastAsia="宋体" w:cs="Times New Roman"/>
          <w:color w:val="auto"/>
          <w:sz w:val="24"/>
          <w:szCs w:val="24"/>
          <w:highlight w:val="none"/>
        </w:rPr>
        <w:t xml:space="preserve">件服从甲方要求，退出原养护地段（范围），相应减少养护范围及经费。由此造成的经济损失，甲方不负赔偿责任。调整或改造的绿地面积超过该标段绿地总面积60%（含）以上的，该标段应在绿化恢复后按新建绿地，重新通过招投标确定新的中标人；调整或改造的绿地面积低于该标段招标面积60%（不含）的，改造恢复后的绿化按原中标单价重新计入该标段，仍由原中标单位负责养护。因甲方管理需要，要求乙方就近新增失管绿地养护、空秃地补植面积分别不超过原中标绿地面积2%、1.5%的，不予追加相关经费，乙方按照就近纳入的招标绿地养护标准进行养护。</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3.9甲方应</w:t>
      </w:r>
      <w:r>
        <w:rPr>
          <w:rFonts w:hint="eastAsia" w:ascii="宋体" w:hAnsi="宋体" w:cs="Times New Roman"/>
          <w:color w:val="auto"/>
          <w:sz w:val="24"/>
          <w:szCs w:val="24"/>
          <w:highlight w:val="none"/>
          <w:lang w:eastAsia="zh-CN"/>
        </w:rPr>
        <w:t xml:space="preserve">做</w:t>
      </w:r>
      <w:r>
        <w:rPr>
          <w:rFonts w:hint="eastAsia" w:ascii="宋体" w:hAnsi="宋体" w:eastAsia="宋体" w:cs="Times New Roman"/>
          <w:color w:val="auto"/>
          <w:sz w:val="24"/>
          <w:szCs w:val="24"/>
          <w:highlight w:val="none"/>
        </w:rPr>
        <w:t xml:space="preserve">的其他工作，双方在补充条款内约定。</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rPr>
        <w:t xml:space="preserve">乙方工作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根据甲方养护工作计划，乙方承担日常养护内容有： 绿地保洁，草花布置，行道树、球类、色块、绿篱等修剪、施肥及病虫害防治，绿化隔离带喷水除尘，草坪管理，所有园林小品、园路、护栏、花坛侧石等绿化设施的保养与维修等。</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 做好详细的养护</w:t>
      </w:r>
      <w:r>
        <w:rPr>
          <w:rFonts w:hint="eastAsia" w:ascii="宋体" w:hAnsi="宋体" w:eastAsia="宋体" w:cs="Times New Roman"/>
          <w:color w:val="auto"/>
          <w:sz w:val="24"/>
          <w:szCs w:val="24"/>
          <w:highlight w:val="none"/>
          <w:lang w:eastAsia="zh-CN"/>
        </w:rPr>
        <w:t xml:space="preserve">台账</w:t>
      </w:r>
      <w:r>
        <w:rPr>
          <w:rFonts w:hint="eastAsia" w:ascii="宋体" w:hAnsi="宋体" w:eastAsia="宋体" w:cs="Times New Roman"/>
          <w:color w:val="auto"/>
          <w:sz w:val="24"/>
          <w:szCs w:val="24"/>
          <w:highlight w:val="none"/>
        </w:rPr>
        <w:t xml:space="preserve">，建立养护档案，并按时做好月、季、年度上报养护工作完成情况表，按甲方要求及时上报。</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4.3 应按甲方提出的对各种管理的要求落实各项措施，每个标段根据工作量确定至少3人的长期稳定的日常管理养护人员，并报滨湖区城市管理局备案，如有变更，应及时上报变更情况。甲方应将检查管护人员日常落实情况纳入考核评分范畴。</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 巡视中如发现绿化设施损坏，应在24小时内处理完毕，如发现人为造成的绿化设施损坏，必须在24小时内书面报告甲方和所在地</w:t>
      </w:r>
      <w:r>
        <w:rPr>
          <w:rFonts w:hint="eastAsia" w:ascii="宋体" w:hAnsi="宋体" w:cs="Times New Roman"/>
          <w:color w:val="auto"/>
          <w:sz w:val="24"/>
          <w:szCs w:val="24"/>
          <w:highlight w:val="none"/>
          <w:lang w:val="en-US" w:eastAsia="zh-CN"/>
        </w:rPr>
        <w:t xml:space="preserve">执法</w:t>
      </w:r>
      <w:r>
        <w:rPr>
          <w:rFonts w:hint="eastAsia" w:ascii="宋体" w:hAnsi="宋体" w:eastAsia="宋体" w:cs="Times New Roman"/>
          <w:color w:val="auto"/>
          <w:sz w:val="24"/>
          <w:szCs w:val="24"/>
          <w:highlight w:val="none"/>
        </w:rPr>
        <w:t xml:space="preserve">部门</w:t>
      </w:r>
      <w:r>
        <w:rPr>
          <w:rFonts w:hint="eastAsia" w:ascii="宋体" w:hAnsi="宋体" w:eastAsia="宋体" w:cs="Times New Roman"/>
          <w:color w:val="auto"/>
          <w:sz w:val="24"/>
          <w:szCs w:val="24"/>
          <w:highlight w:val="none"/>
        </w:rPr>
        <w:t xml:space="preserve">。</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 巡视中发现绿地内有违章搭建及其它破坏绿化等现象，必须当场予以制止，立即报告所在地的</w:t>
      </w:r>
      <w:r>
        <w:rPr>
          <w:rFonts w:hint="eastAsia" w:ascii="宋体" w:hAnsi="宋体" w:cs="Times New Roman"/>
          <w:color w:val="auto"/>
          <w:sz w:val="24"/>
          <w:szCs w:val="24"/>
          <w:highlight w:val="none"/>
          <w:lang w:val="en-US" w:eastAsia="zh-CN"/>
        </w:rPr>
        <w:t xml:space="preserve">执法</w:t>
      </w:r>
      <w:r>
        <w:rPr>
          <w:rFonts w:hint="eastAsia" w:ascii="宋体" w:hAnsi="宋体" w:eastAsia="宋体" w:cs="Times New Roman"/>
          <w:color w:val="auto"/>
          <w:sz w:val="24"/>
          <w:szCs w:val="24"/>
          <w:highlight w:val="none"/>
        </w:rPr>
        <w:t xml:space="preserve">部门</w:t>
      </w:r>
      <w:r>
        <w:rPr>
          <w:rFonts w:hint="eastAsia" w:ascii="宋体" w:hAnsi="宋体" w:eastAsia="宋体" w:cs="Times New Roman"/>
          <w:color w:val="auto"/>
          <w:sz w:val="24"/>
          <w:szCs w:val="24"/>
          <w:highlight w:val="none"/>
        </w:rPr>
        <w:t xml:space="preserve">，协助做好有关工作，并将处理结果报告甲方。</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 汛期和台风季节要加强人员值班，随时处理各种情况，确保树木不遮挡交通指示牌，重要岛头不影响交通行车视线。   </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4.5 超出常规养护范围的工作，需提前报甲方审批。中标地段原设施量清单中未纳入的周围相邻绿化（单位绿化或责任管护单位不明的绿化），在该标段交接完毕后5日内书面提交具体位置及设施量清单</w:t>
      </w:r>
      <w:r>
        <w:rPr>
          <w:rFonts w:hint="eastAsia" w:ascii="宋体" w:hAnsi="宋体" w:cs="Times New Roman"/>
          <w:color w:val="auto"/>
          <w:sz w:val="24"/>
          <w:szCs w:val="24"/>
          <w:highlight w:val="none"/>
          <w:lang w:eastAsia="zh-CN"/>
        </w:rPr>
        <w:t xml:space="preserve">，经</w:t>
      </w:r>
      <w:r>
        <w:rPr>
          <w:rFonts w:hint="eastAsia" w:ascii="宋体" w:hAnsi="宋体" w:eastAsia="宋体" w:cs="Times New Roman"/>
          <w:color w:val="auto"/>
          <w:sz w:val="24"/>
          <w:szCs w:val="24"/>
          <w:highlight w:val="none"/>
        </w:rPr>
        <w:t xml:space="preserve">甲方核验纳入经费核算范围，未及时提出的，视作无偿义务养护。</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4.6 及时解决来信、来访，并根据甲方要求及时处理。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4.7乙方所聘用的负责养护工作的人员的工资必须达到无锡市最低工资标准。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4.8 按时按量完成甲方交办的110等</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突击性任务和指令性任务。</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4.9加强法定节假日的正常养护维修工作。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4.10乙方应服从所在地的绿化行政主管部门的行业管理。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4.11 如有移伐树木、占用绿地等事项，乙方应及时无偿负责移伐树木、占用绿地后的绿地修复工作，绿地修复情况应纳入日常考核范围。</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4.12利用窨井水浇灌的，应在甲方备案并及时恢复井盖。</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4.13乙方在养护中发现苗木不适宜作为道路绿化的，应报甲方审批同意后方可适当更换苗木。</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4.14乙方在重大节庆活动前，应及时更换草花品种。</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4.15 在承包期内承包人应服从发包人的安排和调配，做好以下的服务工作：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因不可抗力造成的抢修保养工作；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防汛抗灾期间的汛前、汛期、汛后的各项工作，服从甲方对区管绿地应急抢险的统一调配、指挥；</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养护相关的社会职能（如城市创建等）工作；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rPr>
        <w:t xml:space="preserve">上级布置的突击性活动而发生的各项工作；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宋体" w:cs="Times New Roman"/>
          <w:color w:val="auto"/>
          <w:sz w:val="24"/>
          <w:szCs w:val="24"/>
          <w:highlight w:val="none"/>
        </w:rPr>
        <w:t xml:space="preserve">确保法定节假日的养护维修工作。</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4.16 乙方无偿承担防范、杀灭四害等有关规定的义务。</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4.17乙方应</w:t>
      </w:r>
      <w:r>
        <w:rPr>
          <w:rFonts w:hint="eastAsia" w:ascii="宋体" w:hAnsi="宋体" w:cs="Times New Roman"/>
          <w:color w:val="auto"/>
          <w:sz w:val="24"/>
          <w:szCs w:val="24"/>
          <w:highlight w:val="none"/>
          <w:lang w:eastAsia="zh-CN"/>
        </w:rPr>
        <w:t xml:space="preserve">做</w:t>
      </w:r>
      <w:r>
        <w:rPr>
          <w:rFonts w:hint="eastAsia" w:ascii="宋体" w:hAnsi="宋体" w:eastAsia="宋体" w:cs="Times New Roman"/>
          <w:color w:val="auto"/>
          <w:sz w:val="24"/>
          <w:szCs w:val="24"/>
          <w:highlight w:val="none"/>
        </w:rPr>
        <w:t xml:space="preserve">的其他工作，双方在补充条款内约定。</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4.18树穴的养水塘在新种苗木两年后需平整修复，用草坪或地被覆盖。</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19应当配合相关部门对资金使用情况进行监督检查与绩效评价。</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4.20乙方可以依法依规使用本合同向金融机构融资，但甲方不为乙方的融资行为提供担保。</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二、养护组织设计</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宋体" w:cs="Times New Roman"/>
          <w:color w:val="auto"/>
          <w:sz w:val="24"/>
          <w:szCs w:val="24"/>
          <w:highlight w:val="none"/>
        </w:rPr>
        <w:t xml:space="preserve">进度计划</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5.1乙方在本合同生效后15天内上报全年养护作业维修计划和该标段养护管理人员网络组成表，并结合季节特点和绿化状况，制定季度、月度养护计划、材料计划送交甲方。甲方在7天内予以确认。</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三、质量与考核</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6.</w:t>
      </w:r>
      <w:r>
        <w:rPr>
          <w:rFonts w:hint="eastAsia" w:ascii="宋体" w:hAnsi="宋体" w:eastAsia="宋体" w:cs="Times New Roman"/>
          <w:color w:val="auto"/>
          <w:sz w:val="24"/>
          <w:szCs w:val="24"/>
          <w:highlight w:val="none"/>
        </w:rPr>
        <w:t xml:space="preserve">质量标准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养护维修质量标准参照补充条款约定的质量标准。因乙方原因养护质量达不到约定的质量标准，乙方承担违约责任。</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7.</w:t>
      </w:r>
      <w:r>
        <w:rPr>
          <w:rFonts w:hint="eastAsia" w:ascii="宋体" w:hAnsi="宋体" w:eastAsia="宋体" w:cs="Times New Roman"/>
          <w:color w:val="auto"/>
          <w:sz w:val="24"/>
          <w:szCs w:val="24"/>
          <w:highlight w:val="none"/>
        </w:rPr>
        <w:t xml:space="preserve">检查和考核</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7.1 乙方应认真按照补充条款中约定的质量标准进行养护，随时接受甲方的检查和考核，为检查和考核提供便利条件。</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7.2 对于养护质量不符合要求的，甲方先通知整改，乙方在两天内不整改的或整改效果不符合要求的，由甲方派其他队伍整改，费用在乙方养护费中扣除。</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乙方养护期间的乔灌花草保存率低于要求的，必须在适合的季节及时补植同品种、同规格的苗木，并确保成活。若乙方未按规定补植，甲方有权安排第三方进行种植，所发生的苗木费及补植费从乙方养护费中扣除。</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甲方按照相关考核办法和规定中约定的考核奖惩办法进行考核。乙方连续2个月或一个合同年内累计有3个月考核分低于85分的，以及月考综合得分低于80分的，则扣除当月全额养护经费，同时滨湖区城市管理局有权无条件单方面终止合同，并且取消下一批次投标资格。乙方</w:t>
      </w:r>
      <w:r>
        <w:rPr>
          <w:rFonts w:hint="eastAsia" w:ascii="宋体" w:hAnsi="宋体" w:cs="Times New Roman"/>
          <w:color w:val="auto"/>
          <w:sz w:val="24"/>
          <w:szCs w:val="24"/>
          <w:highlight w:val="none"/>
          <w:lang w:eastAsia="zh-CN"/>
        </w:rPr>
        <w:t xml:space="preserve">接到</w:t>
      </w:r>
      <w:r>
        <w:rPr>
          <w:rFonts w:hint="eastAsia" w:ascii="宋体" w:hAnsi="宋体" w:eastAsia="宋体" w:cs="Times New Roman"/>
          <w:color w:val="auto"/>
          <w:sz w:val="24"/>
          <w:szCs w:val="24"/>
          <w:highlight w:val="none"/>
        </w:rPr>
        <w:t xml:space="preserve">甲方通知后24小时内必须无条件清退出场，由此造成的经济损失由乙方承担，原已完成的工作量按实结算。</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乙方退出管护，绿地交接按《无锡市重点绿化工程竣工移交养护交接办法》与下一接管单位办理绿地交接手续，绿地需在规定时间内按要求整改到位后交付，逾期整改不到位由接管方进行整改，所需费用由原施工单位或原养护单位支付。</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四、安全文明施工</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8.</w:t>
      </w:r>
      <w:r>
        <w:rPr>
          <w:rFonts w:hint="eastAsia" w:ascii="宋体" w:hAnsi="宋体" w:eastAsia="宋体" w:cs="Times New Roman"/>
          <w:color w:val="auto"/>
          <w:sz w:val="24"/>
          <w:szCs w:val="24"/>
          <w:highlight w:val="none"/>
        </w:rPr>
        <w:t xml:space="preserve">在养护作业过程中，安全责任由乙方承担。</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9.</w:t>
      </w:r>
      <w:r>
        <w:rPr>
          <w:rFonts w:hint="eastAsia" w:ascii="宋体" w:hAnsi="宋体" w:eastAsia="宋体" w:cs="Times New Roman"/>
          <w:color w:val="auto"/>
          <w:sz w:val="24"/>
          <w:szCs w:val="24"/>
          <w:highlight w:val="none"/>
        </w:rPr>
        <w:t xml:space="preserve">安全文明施工与检查</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9.1 乙方应做好养护作业管理区内的安全管理工作，采取必要的安全防护措施，消除事故隐患，并随时接受甲方或行业安全检查人员依法实施的监督检查。</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9.2由于乙方管理不善，引起政府职能部门处罚和停工整改，或因养护不及时、不合格或不规范等原因所造成人身伤亡及安全等事故，其费用和责任由乙方承担。</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10.</w:t>
      </w:r>
      <w:r>
        <w:rPr>
          <w:rFonts w:hint="eastAsia" w:ascii="宋体" w:hAnsi="宋体" w:eastAsia="宋体" w:cs="Times New Roman"/>
          <w:color w:val="auto"/>
          <w:sz w:val="24"/>
          <w:szCs w:val="24"/>
          <w:highlight w:val="none"/>
        </w:rPr>
        <w:t xml:space="preserve">安全防护</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养护作业人员应做好各项安全防范措施，必须着装上岗操作，施工期间按规定做好安全标识。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11.</w:t>
      </w:r>
      <w:r>
        <w:rPr>
          <w:rFonts w:hint="eastAsia" w:ascii="宋体" w:hAnsi="宋体" w:eastAsia="宋体" w:cs="Times New Roman"/>
          <w:color w:val="auto"/>
          <w:sz w:val="24"/>
          <w:szCs w:val="24"/>
          <w:highlight w:val="none"/>
        </w:rPr>
        <w:t xml:space="preserve">事故处理</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发生重大伤亡及其他安全事故，乙方应按有关规定立即上报有关部门并通知甲方代表，同时按政府有关部门要求处理由事故责任方承担发生的费用。</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五、合同价款与支付</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12.</w:t>
      </w:r>
      <w:r>
        <w:rPr>
          <w:rFonts w:hint="eastAsia" w:ascii="宋体" w:hAnsi="宋体" w:eastAsia="宋体" w:cs="Times New Roman"/>
          <w:color w:val="auto"/>
          <w:sz w:val="24"/>
          <w:szCs w:val="24"/>
          <w:highlight w:val="none"/>
        </w:rPr>
        <w:t xml:space="preserve">合同价款</w:t>
      </w:r>
      <w:r/>
    </w:p>
    <w:p>
      <w:pPr>
        <w:ind w:firstLine="480"/>
        <w:spacing w:line="460" w:lineRule="exac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5323205</wp:posOffset>
                </wp:positionH>
                <wp:positionV relativeFrom="paragraph">
                  <wp:posOffset>99695</wp:posOffset>
                </wp:positionV>
                <wp:extent cx="13970" cy="20320"/>
                <wp:effectExtent l="4445" t="4445" r="19685" b="381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13970" cy="20320"/>
                        </a:xfrm>
                        <a:custGeom>
                          <a:avLst/>
                          <a:gdLst/>
                          <a:ahLst/>
                          <a:cxnLst/>
                          <a:rect l="0" t="0" r="r" b="b"/>
                          <a:pathLst>
                            <a:path w="21" h="31" fill="norm" stroke="1" extrusionOk="0">
                              <a:moveTo>
                                <a:pt x="14" y="29"/>
                              </a:moveTo>
                              <a:lnTo>
                                <a:pt x="2" y="22"/>
                              </a:lnTo>
                              <a:lnTo>
                                <a:pt x="0" y="21"/>
                              </a:lnTo>
                              <a:lnTo>
                                <a:pt x="0" y="19"/>
                              </a:lnTo>
                              <a:lnTo>
                                <a:pt x="0" y="15"/>
                              </a:lnTo>
                              <a:lnTo>
                                <a:pt x="0" y="14"/>
                              </a:lnTo>
                              <a:lnTo>
                                <a:pt x="0" y="14"/>
                              </a:lnTo>
                              <a:lnTo>
                                <a:pt x="0" y="14"/>
                              </a:lnTo>
                              <a:lnTo>
                                <a:pt x="21" y="0"/>
                              </a:lnTo>
                              <a:lnTo>
                                <a:pt x="21" y="0"/>
                              </a:lnTo>
                              <a:lnTo>
                                <a:pt x="21" y="0"/>
                              </a:lnTo>
                              <a:lnTo>
                                <a:pt x="21" y="0"/>
                              </a:lnTo>
                              <a:lnTo>
                                <a:pt x="21" y="0"/>
                              </a:lnTo>
                              <a:lnTo>
                                <a:pt x="21" y="0"/>
                              </a:lnTo>
                              <a:lnTo>
                                <a:pt x="21" y="0"/>
                              </a:lnTo>
                            </a:path>
                          </a:pathLst>
                        </a:custGeom>
                        <a:solidFill>
                          <a:srgbClr val="FFFFFF"/>
                        </a:solidFill>
                        <a:ln w="8160" cap="rnd" cmpd="sng">
                          <a:solidFill>
                            <a:srgbClr val="001E59"/>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style="position:absolute;z-index:251660288;o:allowoverlap:true;o:allowincell:false;mso-position-horizontal-relative:page;margin-left:419.1pt;mso-position-horizontal:absolute;mso-position-vertical-relative:text;margin-top:7.8pt;mso-position-vertical:absolute;width:1.1pt;height:1.6pt;mso-wrap-distance-left:9.0pt;mso-wrap-distance-top:0.0pt;mso-wrap-distance-right:9.0pt;mso-wrap-distance-bottom:0.0pt;visibility:visible;" path="m66667,93546l9523,70968l0,67741l0,61289l0,48387l0,45160l0,45160l0,45160l100000,0l100000,0l100000,0l100000,0l100000,0l100000,0l100000,0e" coordsize="100000,100000" fillcolor="#FFFFFF" strokecolor="#001E59" strokeweight="0.64pt">
                <v:path textboxrect="0,0,100000,100000"/>
                <v:stroke dashstyle="solid"/>
              </v:shape>
            </w:pict>
          </mc:Fallback>
        </mc:AlternateContent>
      </w:r>
      <w:r>
        <w:rPr>
          <w:rFonts w:hint="eastAsia" w:ascii="宋体" w:hAnsi="宋体" w:eastAsia="宋体" w:cs="Times New Roman"/>
          <w:color w:val="auto"/>
          <w:sz w:val="24"/>
          <w:szCs w:val="24"/>
          <w:highlight w:val="none"/>
        </w:rPr>
        <w:t xml:space="preserve">12.1 合同价款由甲、乙双方依据中标通知书中的中标价格在协议书内约定。</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乙方应向甲方提交月度养护作业统计报表。甲方可以按报表内容进行计量与考核，考核结果作为合同价款支付的依据。</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12.3 如实际养护作业量与设施量清单有出入时，乙方按照补充条款约定的时间上报计划变更单，经甲方审核并报有关部门审定后方可在下月养护计划中调整。</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12.4 对乙方超出养护范围和因乙方原因造成返工的工作量，甲方不予计量。</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13.</w:t>
      </w:r>
      <w:r>
        <w:rPr>
          <w:rFonts w:hint="eastAsia" w:ascii="宋体" w:hAnsi="宋体" w:eastAsia="宋体" w:cs="Times New Roman"/>
          <w:color w:val="auto"/>
          <w:sz w:val="24"/>
          <w:szCs w:val="24"/>
          <w:highlight w:val="none"/>
        </w:rPr>
        <w:t xml:space="preserve">合同价款支付</w:t>
      </w:r>
      <w:r/>
    </w:p>
    <w:p>
      <w:pPr>
        <w:pStyle w:val="720"/>
        <w:ind w:firstLine="480"/>
        <w:spacing w:line="360" w:lineRule="auto"/>
        <w:rPr>
          <w:rFonts w:hint="eastAsia" w:ascii="宋体" w:hAnsi="宋体" w:eastAsia="宋体" w:cs="宋体"/>
          <w:color w:val="auto"/>
          <w:sz w:val="30"/>
          <w:szCs w:val="30"/>
          <w:highlight w:val="none"/>
        </w:rPr>
      </w:pPr>
      <w:r>
        <w:rPr>
          <w:rFonts w:hint="eastAsia" w:ascii="宋体" w:hAnsi="宋体" w:eastAsia="宋体" w:cs="Times New Roman"/>
          <w:color w:val="auto"/>
          <w:sz w:val="24"/>
          <w:szCs w:val="24"/>
          <w:highlight w:val="none"/>
        </w:rPr>
        <w:t xml:space="preserve">13.1</w:t>
      </w:r>
      <w:r>
        <w:rPr>
          <w:rFonts w:hint="eastAsia" w:ascii="宋体" w:hAnsi="宋体" w:eastAsia="宋体" w:cs="Times New Roman"/>
          <w:color w:val="auto"/>
          <w:sz w:val="24"/>
          <w:szCs w:val="24"/>
          <w:highlight w:val="none"/>
        </w:rPr>
        <w:t xml:space="preserve">养护经费在养护期内按半年平均支付（合同签订后首次付款支付合同金额的30%作为预付款，并以每半年应支付的养护经费进行抵扣，直至预付款全额抵扣，预付款未全部抵扣前不再另行支付养护经费）。实际付款根据项目经费拨付流程进行。</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六、违约和争议</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14.</w:t>
      </w:r>
      <w:r>
        <w:rPr>
          <w:rFonts w:hint="eastAsia" w:ascii="宋体" w:hAnsi="宋体" w:eastAsia="宋体" w:cs="Times New Roman"/>
          <w:color w:val="auto"/>
          <w:sz w:val="24"/>
          <w:szCs w:val="24"/>
          <w:highlight w:val="none"/>
        </w:rPr>
        <w:t xml:space="preserve">违约</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因甲方原因导致乙方不能按合同约定履行义务的，相应延续工期。</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 乙方不能达到所承诺的养护质量和有关技术规范标准，乙方按协议条款支付违约金，赔偿因违约给甲方造成的损失。</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 因一方违约使合同不能履行，另一方欲终止或解除全部合同，应提前10天通知违约方后，方可终止或解除合同，由违约方承担违约责任。</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15.</w:t>
      </w:r>
      <w:r>
        <w:rPr>
          <w:rFonts w:hint="eastAsia" w:ascii="宋体" w:hAnsi="宋体" w:eastAsia="宋体" w:cs="Times New Roman"/>
          <w:color w:val="auto"/>
          <w:sz w:val="24"/>
          <w:szCs w:val="24"/>
          <w:highlight w:val="none"/>
        </w:rPr>
        <w:t xml:space="preserve">争议</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甲乙双方因合同发生争议，可由甲乙双方协商、调解</w:t>
      </w:r>
      <w:r>
        <w:rPr>
          <w:rFonts w:hint="eastAsia" w:ascii="宋体" w:hAnsi="宋体" w:cs="Times New Roman"/>
          <w:color w:val="auto"/>
          <w:sz w:val="24"/>
          <w:szCs w:val="24"/>
          <w:highlight w:val="none"/>
          <w:lang w:eastAsia="zh-CN"/>
        </w:rPr>
        <w:t xml:space="preserve">或</w:t>
      </w:r>
      <w:r>
        <w:rPr>
          <w:rFonts w:hint="eastAsia" w:ascii="宋体" w:hAnsi="宋体" w:eastAsia="宋体" w:cs="Times New Roman"/>
          <w:color w:val="auto"/>
          <w:sz w:val="24"/>
          <w:szCs w:val="24"/>
          <w:highlight w:val="none"/>
        </w:rPr>
        <w:t xml:space="preserve">向甲方所在地的</w:t>
      </w:r>
      <w:r>
        <w:rPr>
          <w:rFonts w:hint="eastAsia" w:ascii="宋体" w:hAnsi="宋体" w:cs="Times New Roman"/>
          <w:color w:val="auto"/>
          <w:sz w:val="24"/>
          <w:szCs w:val="24"/>
          <w:highlight w:val="none"/>
          <w:lang w:eastAsia="zh-CN"/>
        </w:rPr>
        <w:t xml:space="preserve">人民法院起诉</w:t>
      </w:r>
      <w:r>
        <w:rPr>
          <w:rFonts w:hint="eastAsia" w:ascii="宋体" w:hAnsi="宋体" w:eastAsia="宋体" w:cs="Times New Roman"/>
          <w:color w:val="auto"/>
          <w:sz w:val="24"/>
          <w:szCs w:val="24"/>
          <w:highlight w:val="none"/>
        </w:rPr>
        <w:t xml:space="preserve">。</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15.2发生争议后，除出现以下情况的，双方都应继续履行合同，保持养护连续性：</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 合同确已无法履行；</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 双方协议停止养护作业；</w:t>
      </w:r>
      <w:r/>
    </w:p>
    <w:p>
      <w:pP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 仲裁机关要求停止养护作业；</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rPr>
        <w:t xml:space="preserve"> 法院要求停止养护作业。</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七、合同终止</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 承包范围内的养护管理项目，乙方不得采取任何形式实施分包和转包，凡违反此规定的，甲方将立即取消乙方的承包资格，终止养护承包合同的履行，由此产生的一切法律责任和经济损失由乙方承担；</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16.2 乙方在本合同订立之日起三个月内，作为试用期；经甲方考核，达不到质量和技术标准的，甲方有权终止合同。因试用不合格，试用期内养护费按合同价的月平均价50％付给。 </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八、其他</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在本合同执行过程中如</w:t>
      </w:r>
      <w:r>
        <w:rPr>
          <w:rFonts w:hint="eastAsia" w:ascii="宋体" w:hAnsi="宋体" w:cs="Times New Roman"/>
          <w:color w:val="auto"/>
          <w:sz w:val="24"/>
          <w:szCs w:val="24"/>
          <w:highlight w:val="none"/>
          <w:lang w:eastAsia="zh-CN"/>
        </w:rPr>
        <w:t xml:space="preserve">遇</w:t>
      </w:r>
      <w:r>
        <w:rPr>
          <w:rFonts w:hint="eastAsia" w:ascii="宋体" w:hAnsi="宋体" w:eastAsia="宋体" w:cs="Times New Roman"/>
          <w:color w:val="auto"/>
          <w:sz w:val="24"/>
          <w:szCs w:val="24"/>
          <w:highlight w:val="none"/>
        </w:rPr>
        <w:t xml:space="preserve">国家政策、</w:t>
      </w:r>
      <w:r>
        <w:rPr>
          <w:rFonts w:hint="eastAsia" w:ascii="宋体" w:hAnsi="宋体" w:cs="Times New Roman"/>
          <w:color w:val="auto"/>
          <w:sz w:val="24"/>
          <w:szCs w:val="24"/>
          <w:highlight w:val="none"/>
          <w:lang w:eastAsia="zh-CN"/>
        </w:rPr>
        <w:t xml:space="preserve">地方性法规</w:t>
      </w:r>
      <w:r>
        <w:rPr>
          <w:rFonts w:hint="eastAsia" w:ascii="宋体" w:hAnsi="宋体" w:eastAsia="宋体" w:cs="Times New Roman"/>
          <w:color w:val="auto"/>
          <w:sz w:val="24"/>
          <w:szCs w:val="24"/>
          <w:highlight w:val="none"/>
        </w:rPr>
        <w:t xml:space="preserve">的有关规定不符时，按有关政策法规执行。</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17.2 如遇自然灾害和不可抗力造成损失的，经双方协商解决。</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17.3 本合同如有未尽事宜，双方可通过协商补充协议解决。</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九、合同生效与终止</w:t>
      </w:r>
      <w:r/>
    </w:p>
    <w:p>
      <w:pPr>
        <w:ind w:firstLine="48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双方在合同协议书中约定合同生效方式。双方履行合同全部义务，合同价款支付完毕后，本合同即告终止。</w:t>
      </w:r>
      <w:r/>
    </w:p>
    <w:p>
      <w:pPr>
        <w:pStyle w:val="720"/>
        <w:ind w:firstLine="480"/>
        <w:keepLines w:val="0"/>
        <w:keepNext w:val="0"/>
        <w:pageBreakBefore w:val="0"/>
        <w:spacing w:line="360" w:lineRule="auto"/>
        <w:widowControl w:val="off"/>
        <w:rPr>
          <w:rFonts w:hint="eastAsia" w:hAnsi="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十、合同份数</w:t>
      </w:r>
      <w:r/>
    </w:p>
    <w:p>
      <w:pPr>
        <w:pStyle w:val="720"/>
        <w:ind w:firstLine="48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本合同一式七份，并</w:t>
      </w:r>
      <w:r>
        <w:rPr>
          <w:rFonts w:hint="eastAsia" w:hAnsi="宋体"/>
          <w:color w:val="auto"/>
          <w:sz w:val="24"/>
          <w:szCs w:val="24"/>
          <w:highlight w:val="none"/>
          <w:lang w:eastAsia="zh-CN"/>
        </w:rPr>
        <w:t xml:space="preserve">具有</w:t>
      </w:r>
      <w:r>
        <w:rPr>
          <w:rFonts w:hint="eastAsia" w:hAnsi="宋体"/>
          <w:color w:val="auto"/>
          <w:sz w:val="24"/>
          <w:szCs w:val="24"/>
          <w:highlight w:val="none"/>
        </w:rPr>
        <w:t xml:space="preserve">同等法律效力。由甲方保存四份、乙方保存两份，见证方一份。</w:t>
      </w:r>
      <w:r/>
    </w:p>
    <w:p>
      <w:pPr>
        <w:pStyle w:val="910"/>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10" w:name="_Toc10563"/>
      <w:r/>
      <w:bookmarkStart w:id="11" w:name="_Toc27834"/>
      <w:r/>
      <w:bookmarkStart w:id="18" w:name="_GoBack"/>
      <w:r/>
      <w:bookmarkEnd w:id="18"/>
      <w:r>
        <w:rPr>
          <w:rFonts w:eastAsia="黑体"/>
          <w:bCs/>
          <w:color w:val="auto"/>
          <w:sz w:val="28"/>
          <w:szCs w:val="28"/>
          <w:highlight w:val="none"/>
        </w:rPr>
        <w:t xml:space="preserve">六</w:t>
      </w:r>
      <w:r>
        <w:rPr>
          <w:rFonts w:hint="eastAsia" w:eastAsia="黑体"/>
          <w:bCs/>
          <w:color w:val="auto"/>
          <w:sz w:val="28"/>
          <w:szCs w:val="28"/>
          <w:highlight w:val="none"/>
          <w:lang w:eastAsia="zh-CN"/>
        </w:rPr>
        <w:t xml:space="preserve">、</w:t>
      </w:r>
      <w:r>
        <w:rPr>
          <w:rFonts w:eastAsia="黑体"/>
          <w:bCs/>
          <w:color w:val="auto"/>
          <w:sz w:val="28"/>
          <w:szCs w:val="28"/>
          <w:highlight w:val="none"/>
        </w:rPr>
        <w:t xml:space="preserve">附件</w:t>
      </w:r>
      <w:bookmarkEnd w:id="10"/>
      <w:r/>
      <w:bookmarkEnd w:id="11"/>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eastAsia="宋体"/>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1.报价                    </w:t>
      </w:r>
      <w:r>
        <w:rPr>
          <w:rFonts w:hint="eastAsia" w:ascii="Times New Roman" w:eastAsia="宋体"/>
          <w:b/>
          <w:color w:val="auto"/>
          <w:sz w:val="24"/>
          <w:szCs w:val="24"/>
          <w:highlight w:val="none"/>
          <w:lang w:val="en-US" w:eastAsia="zh-CN"/>
        </w:rPr>
        <w:t xml:space="preserve">    </w:t>
      </w:r>
      <w:r>
        <w:rPr>
          <w:b/>
          <w:color w:val="auto"/>
          <w:sz w:val="24"/>
          <w:szCs w:val="24"/>
          <w:highlight w:val="none"/>
        </w:rPr>
        <w:t xml:space="preserve">               </w:t>
      </w:r>
      <w:r>
        <w:rPr>
          <w:rFonts w:hint="eastAsia" w:ascii="Times New Roman" w:eastAsia="宋体"/>
          <w:b/>
          <w:color w:val="auto"/>
          <w:sz w:val="24"/>
          <w:szCs w:val="24"/>
          <w:highlight w:val="none"/>
          <w:lang w:val="en-US" w:eastAsia="zh-CN"/>
        </w:rPr>
        <w:t xml:space="preserve">23</w:t>
      </w:r>
      <w:r>
        <w:rPr>
          <w:b/>
          <w:color w:val="auto"/>
          <w:sz w:val="24"/>
          <w:szCs w:val="24"/>
          <w:highlight w:val="none"/>
        </w:rPr>
        <w:t xml:space="preserve">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2.</w:t>
      </w:r>
      <w:r>
        <w:rPr>
          <w:rFonts w:hint="eastAsia" w:ascii="Times New Roman" w:eastAsia="宋体"/>
          <w:b/>
          <w:color w:val="auto"/>
          <w:sz w:val="24"/>
          <w:szCs w:val="24"/>
          <w:highlight w:val="none"/>
          <w:lang w:val="en-US" w:eastAsia="zh-CN"/>
        </w:rPr>
        <w:t xml:space="preserve">投标</w:t>
      </w:r>
      <w:r>
        <w:rPr>
          <w:b/>
          <w:color w:val="auto"/>
          <w:sz w:val="24"/>
          <w:szCs w:val="24"/>
          <w:highlight w:val="none"/>
        </w:rPr>
        <w:t xml:space="preserve">供应商评价                             </w:t>
      </w:r>
      <w:r>
        <w:rPr>
          <w:rFonts w:hint="eastAsia" w:ascii="Times New Roman" w:eastAsia="宋体"/>
          <w:b/>
          <w:color w:val="auto"/>
          <w:sz w:val="24"/>
          <w:szCs w:val="24"/>
          <w:highlight w:val="none"/>
          <w:lang w:val="en-US" w:eastAsia="zh-CN"/>
        </w:rPr>
        <w:t xml:space="preserve">22</w:t>
      </w:r>
      <w:r>
        <w:rPr>
          <w:b/>
          <w:color w:val="auto"/>
          <w:sz w:val="24"/>
          <w:szCs w:val="24"/>
          <w:highlight w:val="none"/>
        </w:rPr>
        <w:t xml:space="preserve">分</w:t>
      </w:r>
      <w:r/>
    </w:p>
    <w:p>
      <w:pPr>
        <w:ind w:firstLine="482"/>
        <w:jc w:val="left"/>
        <w:keepLines w:val="0"/>
        <w:keepNext w:val="0"/>
        <w:pageBreakBefore w:val="0"/>
        <w:spacing w:line="360" w:lineRule="auto"/>
        <w:widowControl w:val="off"/>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ascii="Times New Roman" w:eastAsia="宋体"/>
          <w:b/>
          <w:color w:val="auto"/>
          <w:sz w:val="24"/>
          <w:szCs w:val="24"/>
          <w:highlight w:val="none"/>
          <w:lang w:val="en-US" w:eastAsia="zh-CN"/>
        </w:rPr>
        <w:t xml:space="preserve">文件</w:t>
      </w:r>
      <w:r>
        <w:rPr>
          <w:b/>
          <w:bCs/>
          <w:color w:val="auto"/>
          <w:sz w:val="24"/>
          <w:szCs w:val="24"/>
          <w:highlight w:val="none"/>
        </w:rPr>
        <w:t xml:space="preserve">               </w:t>
      </w:r>
      <w:r>
        <w:rPr>
          <w:b/>
          <w:color w:val="auto"/>
          <w:sz w:val="24"/>
          <w:szCs w:val="24"/>
          <w:highlight w:val="none"/>
        </w:rPr>
        <w:t xml:space="preserve">       </w:t>
      </w:r>
      <w:r>
        <w:rPr>
          <w:b/>
          <w:bCs/>
          <w:color w:val="auto"/>
          <w:sz w:val="24"/>
          <w:szCs w:val="24"/>
          <w:highlight w:val="none"/>
        </w:rPr>
        <w:t xml:space="preserve">        </w:t>
      </w:r>
      <w:r>
        <w:rPr>
          <w:b/>
          <w:color w:val="auto"/>
          <w:sz w:val="24"/>
          <w:szCs w:val="24"/>
          <w:highlight w:val="none"/>
        </w:rPr>
        <w:t xml:space="preserve">     </w:t>
      </w:r>
      <w:r>
        <w:rPr>
          <w:rFonts w:hint="eastAsia" w:ascii="Times New Roman" w:eastAsia="宋体"/>
          <w:b/>
          <w:color w:val="auto"/>
          <w:sz w:val="24"/>
          <w:szCs w:val="24"/>
          <w:highlight w:val="none"/>
          <w:lang w:val="en-US" w:eastAsia="zh-CN"/>
        </w:rPr>
        <w:t xml:space="preserve">55</w:t>
      </w:r>
      <w:r>
        <w:rPr>
          <w:b/>
          <w:color w:val="auto"/>
          <w:sz w:val="24"/>
          <w:szCs w:val="24"/>
          <w:highlight w:val="none"/>
        </w:rPr>
        <w:t xml:space="preserve">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（二</w:t>
      </w:r>
      <w:r>
        <w:rPr>
          <w:rFonts w:hint="eastAsia" w:eastAsia="宋体"/>
          <w:b/>
          <w:color w:val="auto"/>
          <w:sz w:val="24"/>
          <w:szCs w:val="24"/>
          <w:highlight w:val="none"/>
          <w:lang w:eastAsia="zh-CN"/>
        </w:rPr>
        <w:t xml:space="preserve">）</w:t>
      </w:r>
      <w:r>
        <w:rPr>
          <w:b/>
          <w:color w:val="auto"/>
          <w:sz w:val="24"/>
          <w:szCs w:val="24"/>
          <w:highlight w:val="none"/>
        </w:rPr>
        <w:t xml:space="preserve">各项目评分标准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×价格权值×100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投标供应商具备质量管理体系认证证书、环境管理体系认证证书、职业健康安全管理体系认证证书且在有效期内的，有1个得1分，本项最高得3分【投标时需提供有效的认证证书扫描件以及“全国认证认可信息公共服务平台”（http://cx.cnca.cn）查询截图加盖投标供应商公章上传至</w:t>
      </w:r>
      <w:r>
        <w:rPr>
          <w:rFonts w:hint="eastAsia" w:ascii="宋体" w:hAnsi="宋体" w:cs="宋体"/>
          <w:bCs/>
          <w:color w:val="auto"/>
          <w:sz w:val="24"/>
          <w:szCs w:val="24"/>
          <w:highlight w:val="none"/>
        </w:rPr>
        <w:t xml:space="preserve">电子投标文件</w:t>
      </w:r>
      <w:r>
        <w:rPr>
          <w:rFonts w:hint="eastAsia" w:ascii="宋体" w:hAnsi="宋体" w:eastAsia="宋体" w:cs="宋体"/>
          <w:bCs/>
          <w:color w:val="auto"/>
          <w:sz w:val="24"/>
          <w:szCs w:val="24"/>
          <w:highlight w:val="none"/>
          <w:lang w:val="en-US" w:eastAsia="zh-CN"/>
        </w:rPr>
        <w:t xml:space="preserve">中</w:t>
      </w:r>
      <w:r>
        <w:rPr>
          <w:rFonts w:hint="eastAsia" w:ascii="宋体" w:hAnsi="宋体" w:cs="宋体"/>
          <w:bCs/>
          <w:color w:val="auto"/>
          <w:sz w:val="24"/>
          <w:szCs w:val="24"/>
          <w:highlight w:val="none"/>
        </w:rPr>
        <w:t xml:space="preserve">，未按要求提供不得分</w:t>
      </w:r>
      <w:r>
        <w:rPr>
          <w:rFonts w:hint="eastAsia" w:ascii="宋体" w:hAnsi="宋体" w:eastAsia="宋体" w:cs="宋体"/>
          <w:bCs/>
          <w:color w:val="auto"/>
          <w:sz w:val="24"/>
          <w:szCs w:val="24"/>
          <w:highlight w:val="none"/>
        </w:rPr>
        <w:t xml:space="preserve">】</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（2）投标供应商提供园林绿化废弃物100%收集并有机循环利用的证明材料的得2分【投标时需提供废弃物处置协议及证明材料扫描件加盖投标供应商公章上传至</w:t>
      </w:r>
      <w:r>
        <w:rPr>
          <w:rFonts w:hint="eastAsia" w:ascii="宋体" w:hAnsi="宋体" w:cs="宋体"/>
          <w:bCs/>
          <w:color w:val="auto"/>
          <w:sz w:val="24"/>
          <w:szCs w:val="24"/>
          <w:highlight w:val="none"/>
        </w:rPr>
        <w:t xml:space="preserve">电子投标文件</w:t>
      </w:r>
      <w:r>
        <w:rPr>
          <w:rFonts w:hint="eastAsia" w:ascii="宋体" w:hAnsi="宋体" w:eastAsia="宋体" w:cs="宋体"/>
          <w:bCs/>
          <w:color w:val="auto"/>
          <w:sz w:val="24"/>
          <w:szCs w:val="24"/>
          <w:highlight w:val="none"/>
          <w:lang w:val="en-US" w:eastAsia="zh-CN"/>
        </w:rPr>
        <w:t xml:space="preserve">中</w:t>
      </w:r>
      <w:r>
        <w:rPr>
          <w:rFonts w:hint="eastAsia" w:ascii="宋体" w:hAnsi="宋体" w:cs="宋体"/>
          <w:bCs/>
          <w:color w:val="auto"/>
          <w:sz w:val="24"/>
          <w:szCs w:val="24"/>
          <w:highlight w:val="none"/>
        </w:rPr>
        <w:t xml:space="preserve">，未按要求提供不得分</w:t>
      </w:r>
      <w:r>
        <w:rPr>
          <w:rFonts w:hint="eastAsia" w:ascii="宋体" w:hAnsi="宋体" w:eastAsia="宋体" w:cs="宋体"/>
          <w:bCs/>
          <w:color w:val="auto"/>
          <w:sz w:val="24"/>
          <w:szCs w:val="24"/>
          <w:highlight w:val="none"/>
        </w:rPr>
        <w:t xml:space="preserve">】</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（3）投标供应商自2022年1月1日</w:t>
      </w:r>
      <w:r>
        <w:rPr>
          <w:rFonts w:hint="eastAsia" w:ascii="宋体" w:hAnsi="宋体"/>
          <w:bCs/>
          <w:color w:val="auto"/>
          <w:sz w:val="24"/>
          <w:highlight w:val="none"/>
        </w:rPr>
        <w:t xml:space="preserve">以来承担过</w:t>
      </w:r>
      <w:r>
        <w:rPr>
          <w:rFonts w:hint="eastAsia" w:ascii="宋体" w:hAnsi="宋体" w:eastAsia="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养护项目业绩的，有一个得1分，本项最高得2分【</w:t>
      </w:r>
      <w:r>
        <w:rPr>
          <w:rFonts w:hint="eastAsia" w:ascii="宋体" w:hAnsi="宋体" w:eastAsia="宋体"/>
          <w:bCs/>
          <w:color w:val="auto"/>
          <w:sz w:val="24"/>
          <w:highlight w:val="none"/>
          <w:lang w:val="en-US" w:eastAsia="zh-CN"/>
        </w:rPr>
        <w:t xml:space="preserve">同类</w:t>
      </w:r>
      <w:r>
        <w:rPr>
          <w:rFonts w:hint="eastAsia" w:ascii="宋体" w:hAnsi="宋体"/>
          <w:bCs/>
          <w:color w:val="auto"/>
          <w:sz w:val="24"/>
          <w:highlight w:val="none"/>
        </w:rPr>
        <w:t xml:space="preserve">业绩时间以合同签订日期为准，提供有效合同扫描件加盖投标供应商公章上传至</w:t>
      </w:r>
      <w:r>
        <w:rPr>
          <w:rFonts w:hint="eastAsia" w:ascii="宋体" w:hAnsi="宋体" w:eastAsia="宋体" w:cs="宋体"/>
          <w:bCs/>
          <w:color w:val="auto"/>
          <w:sz w:val="24"/>
          <w:szCs w:val="24"/>
          <w:highlight w:val="none"/>
        </w:rPr>
        <w:t xml:space="preserve">电子投标文件</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，未按要求提供不得分】</w:t>
      </w:r>
      <w:r/>
    </w:p>
    <w:p>
      <w:pPr>
        <w:ind w:left="426"/>
        <w:spacing w:line="360" w:lineRule="auto"/>
        <w:rPr>
          <w:rFonts w:hint="default"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Times New Roman"/>
          <w:bCs/>
          <w:color w:val="auto"/>
          <w:sz w:val="24"/>
          <w:szCs w:val="24"/>
          <w:highlight w:val="none"/>
        </w:rPr>
        <w:t xml:space="preserve">养护作业业绩考核得分</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5分</w:t>
      </w:r>
      <w:r>
        <w:rPr>
          <w:rFonts w:hint="eastAsia" w:ascii="宋体" w:hAnsi="宋体" w:eastAsia="宋体" w:cs="Times New Roman"/>
          <w:bCs/>
          <w:color w:val="auto"/>
          <w:sz w:val="24"/>
          <w:szCs w:val="24"/>
          <w:highlight w:val="none"/>
          <w:lang w:eastAsia="zh-CN"/>
        </w:rPr>
        <w:t xml:space="preserve">）</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投标供应商在项目所在地有绿化养护作业业绩的，按照项目所在地绿化监管部门出具202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年绿化养护综合考核得分评分；投标单位在项目所在地无绿化养护作业业绩但在设区市级有绿化养护作业业绩的，可按照设区市级绿化监管部门出具202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年绿化养护综合考核得分评分；评分计算：根据投标供应商获得的202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年绿化养护综合考核得分排序，排第一名得5分，得分排名每下降一位扣0.5分，扣完为止；投标供应商未在上述考核范围内的，按本次参与考核的投标单位平均分得分（百分数精确到小数点后一位）</w:t>
      </w:r>
      <w:r>
        <w:rPr>
          <w:rFonts w:hint="eastAsia" w:ascii="宋体" w:hAnsi="宋体"/>
          <w:bCs/>
          <w:color w:val="auto"/>
          <w:sz w:val="24"/>
          <w:highlight w:val="none"/>
        </w:rPr>
        <w:t xml:space="preserve">【提供</w:t>
      </w:r>
      <w:r>
        <w:rPr>
          <w:rFonts w:hint="eastAsia" w:ascii="宋体" w:hAnsi="宋体" w:eastAsia="宋体"/>
          <w:bCs/>
          <w:color w:val="auto"/>
          <w:sz w:val="24"/>
          <w:highlight w:val="none"/>
          <w:lang w:val="en-US" w:eastAsia="zh-CN"/>
        </w:rPr>
        <w:t xml:space="preserve">证明文件</w:t>
      </w:r>
      <w:r>
        <w:rPr>
          <w:rFonts w:hint="eastAsia" w:ascii="宋体" w:hAnsi="宋体"/>
          <w:bCs/>
          <w:color w:val="auto"/>
          <w:sz w:val="24"/>
          <w:highlight w:val="none"/>
        </w:rPr>
        <w:t xml:space="preserve">扫描件加盖投标供应商公章上传至</w:t>
      </w:r>
      <w:r>
        <w:rPr>
          <w:rFonts w:hint="eastAsia" w:ascii="宋体" w:hAnsi="宋体" w:eastAsia="宋体" w:cs="宋体"/>
          <w:bCs/>
          <w:color w:val="auto"/>
          <w:sz w:val="24"/>
          <w:szCs w:val="24"/>
          <w:highlight w:val="none"/>
        </w:rPr>
        <w:t xml:space="preserve">电子投标文件</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，未按要求提供不得分】</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（5）投标供应商人员配置情况（4分）</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8"/>
          <w:highlight w:val="none"/>
        </w:rPr>
        <w:t xml:space="preserve">专业植保员投入</w:t>
      </w:r>
      <w:r>
        <w:rPr>
          <w:rFonts w:hint="eastAsia" w:ascii="宋体" w:hAnsi="宋体" w:eastAsia="宋体" w:cs="宋体"/>
          <w:bCs/>
          <w:color w:val="auto"/>
          <w:sz w:val="24"/>
          <w:szCs w:val="24"/>
          <w:highlight w:val="none"/>
        </w:rPr>
        <w:t xml:space="preserve">（2分）：</w:t>
      </w:r>
      <w:r>
        <w:rPr>
          <w:rFonts w:hint="eastAsia" w:ascii="宋体" w:hAnsi="宋体" w:eastAsia="宋体" w:cs="宋体"/>
          <w:bCs/>
          <w:color w:val="auto"/>
          <w:sz w:val="24"/>
          <w:szCs w:val="24"/>
          <w:highlight w:val="none"/>
        </w:rPr>
        <w:t xml:space="preserve">养护期作业人员须配备的专业植保员具有大专及以上园林植保专业相关专业学历毕业证书，有1名得1分，本项最高得2分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需提供植保员毕业证书及由法定的社保收缴部门出具</w:t>
      </w:r>
      <w:r>
        <w:rPr>
          <w:rFonts w:hint="eastAsia" w:ascii="宋体" w:hAnsi="宋体" w:eastAsia="宋体" w:cs="宋体"/>
          <w:bCs/>
          <w:color w:val="auto"/>
          <w:sz w:val="24"/>
          <w:szCs w:val="24"/>
          <w:highlight w:val="none"/>
        </w:rPr>
        <w:t xml:space="preserve">由投标供应商</w:t>
      </w:r>
      <w:r>
        <w:rPr>
          <w:rFonts w:hint="eastAsia" w:ascii="宋体" w:hAnsi="宋体" w:eastAsia="宋体" w:cs="宋体"/>
          <w:bCs/>
          <w:color w:val="auto"/>
          <w:sz w:val="24"/>
          <w:szCs w:val="24"/>
          <w:highlight w:val="none"/>
          <w:lang w:val="en-US" w:eastAsia="zh-CN"/>
        </w:rPr>
        <w:t xml:space="preserve">为上述人员</w:t>
      </w:r>
      <w:r>
        <w:rPr>
          <w:rFonts w:hint="eastAsia" w:ascii="宋体" w:hAnsi="宋体" w:eastAsia="宋体" w:cs="宋体"/>
          <w:bCs/>
          <w:color w:val="auto"/>
          <w:sz w:val="24"/>
          <w:szCs w:val="24"/>
          <w:highlight w:val="none"/>
        </w:rPr>
        <w:t xml:space="preserve">依法缴纳的近</w:t>
      </w:r>
      <w:r>
        <w:rPr>
          <w:rFonts w:hint="eastAsia" w:ascii="宋体" w:hAnsi="宋体" w:eastAsia="宋体" w:cs="宋体"/>
          <w:bCs/>
          <w:color w:val="auto"/>
          <w:sz w:val="24"/>
          <w:szCs w:val="24"/>
          <w:highlight w:val="none"/>
          <w:lang w:val="en-US" w:eastAsia="zh-CN"/>
        </w:rPr>
        <w:t xml:space="preserve">三个月</w:t>
      </w:r>
      <w:r>
        <w:rPr>
          <w:rFonts w:hint="eastAsia" w:ascii="宋体" w:hAnsi="宋体" w:eastAsia="宋体" w:cs="宋体"/>
          <w:bCs/>
          <w:color w:val="auto"/>
          <w:sz w:val="24"/>
          <w:szCs w:val="24"/>
          <w:highlight w:val="none"/>
        </w:rPr>
        <w:t xml:space="preserve">中任意一个月（不含投标当月）的社会保障资金的相关材料（提供相关主管部门证明或银行代扣证明）扫描件放入电子投标文件，未按要求提供不得分</w:t>
      </w:r>
      <w:r>
        <w:rPr>
          <w:rFonts w:hint="eastAsia" w:ascii="宋体" w:hAnsi="宋体" w:eastAsia="宋体" w:cs="宋体"/>
          <w:bCs/>
          <w:color w:val="auto"/>
          <w:sz w:val="24"/>
          <w:szCs w:val="24"/>
          <w:highlight w:val="none"/>
          <w:lang w:eastAsia="zh-CN"/>
        </w:rPr>
        <w:t xml:space="preserve">】</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养护作业人员（2分）：本项目配备的养护作业人员（项目负责人除外）中具有高处作业特种作业证的，有一个得1分，最高得2分【提供上述人员相关证书、与投标供应商企业签订的劳动合同、法定的社保收缴部门出具的由投标供应商</w:t>
      </w:r>
      <w:r>
        <w:rPr>
          <w:rFonts w:hint="eastAsia" w:ascii="宋体" w:hAnsi="宋体" w:eastAsia="宋体" w:cs="宋体"/>
          <w:bCs/>
          <w:color w:val="auto"/>
          <w:sz w:val="24"/>
          <w:szCs w:val="24"/>
          <w:highlight w:val="none"/>
          <w:lang w:val="en-US" w:eastAsia="zh-CN"/>
        </w:rPr>
        <w:t xml:space="preserve">为上述人员</w:t>
      </w:r>
      <w:r>
        <w:rPr>
          <w:rFonts w:hint="eastAsia" w:ascii="宋体" w:hAnsi="宋体" w:eastAsia="宋体" w:cs="宋体"/>
          <w:bCs/>
          <w:color w:val="auto"/>
          <w:sz w:val="24"/>
          <w:szCs w:val="24"/>
          <w:highlight w:val="none"/>
        </w:rPr>
        <w:t xml:space="preserve">依法缴纳的近</w:t>
      </w:r>
      <w:r>
        <w:rPr>
          <w:rFonts w:hint="eastAsia" w:ascii="宋体" w:hAnsi="宋体" w:eastAsia="宋体" w:cs="宋体"/>
          <w:bCs/>
          <w:color w:val="auto"/>
          <w:sz w:val="24"/>
          <w:szCs w:val="24"/>
          <w:highlight w:val="none"/>
          <w:lang w:val="en-US" w:eastAsia="zh-CN"/>
        </w:rPr>
        <w:t xml:space="preserve">三个月</w:t>
      </w:r>
      <w:r>
        <w:rPr>
          <w:rFonts w:hint="eastAsia" w:ascii="宋体" w:hAnsi="宋体" w:eastAsia="宋体" w:cs="宋体"/>
          <w:bCs/>
          <w:color w:val="auto"/>
          <w:sz w:val="24"/>
          <w:szCs w:val="24"/>
          <w:highlight w:val="none"/>
        </w:rPr>
        <w:t xml:space="preserve">中任意一个月（不含投标当月）的社会保障资金的相关材料（提供相关主管部门证明或银行代扣证明）扫描件放入电子投标文件，未按要求提供不得分】</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bCs/>
          <w:color w:val="auto"/>
          <w:sz w:val="24"/>
          <w:szCs w:val="24"/>
          <w:highlight w:val="none"/>
        </w:rPr>
        <w:t xml:space="preserve">以上人员不重复得分</w:t>
      </w:r>
      <w:r>
        <w:rPr>
          <w:rFonts w:hint="eastAsia" w:ascii="宋体" w:hAnsi="宋体" w:eastAsia="宋体" w:cs="宋体"/>
          <w:bCs/>
          <w:color w:val="auto"/>
          <w:sz w:val="24"/>
          <w:szCs w:val="24"/>
          <w:highlight w:val="none"/>
          <w:lang w:eastAsia="zh-CN"/>
        </w:rPr>
        <w:t xml:space="preserve">。</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（6）养护车辆、机械设备（</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1）投标供应商</w:t>
      </w:r>
      <w:r>
        <w:rPr>
          <w:rFonts w:hint="eastAsia" w:ascii="宋体" w:hAnsi="宋体" w:eastAsia="宋体" w:cs="宋体"/>
          <w:bCs/>
          <w:color w:val="auto"/>
          <w:sz w:val="24"/>
          <w:szCs w:val="24"/>
          <w:highlight w:val="none"/>
          <w:lang w:val="en-US" w:eastAsia="zh-CN"/>
        </w:rPr>
        <w:t xml:space="preserve">配备</w:t>
      </w:r>
      <w:r>
        <w:rPr>
          <w:rFonts w:hint="eastAsia" w:ascii="宋体" w:hAnsi="宋体" w:eastAsia="宋体" w:cs="宋体"/>
          <w:bCs/>
          <w:color w:val="auto"/>
          <w:sz w:val="24"/>
          <w:szCs w:val="24"/>
          <w:highlight w:val="none"/>
        </w:rPr>
        <w:t xml:space="preserve">中大型高空作业车（作业高度达10米及以上且折臂可360度旋转），有一台得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2）投标供应商</w:t>
      </w:r>
      <w:r>
        <w:rPr>
          <w:rFonts w:hint="eastAsia" w:ascii="宋体" w:hAnsi="宋体" w:eastAsia="宋体" w:cs="宋体"/>
          <w:bCs/>
          <w:color w:val="auto"/>
          <w:sz w:val="24"/>
          <w:szCs w:val="24"/>
          <w:highlight w:val="none"/>
          <w:lang w:val="en-US" w:eastAsia="zh-CN"/>
        </w:rPr>
        <w:t xml:space="preserve">配备</w:t>
      </w:r>
      <w:r>
        <w:rPr>
          <w:rFonts w:hint="eastAsia" w:ascii="宋体" w:hAnsi="宋体" w:eastAsia="宋体" w:cs="宋体"/>
          <w:bCs/>
          <w:color w:val="auto"/>
          <w:sz w:val="24"/>
          <w:szCs w:val="24"/>
          <w:highlight w:val="none"/>
        </w:rPr>
        <w:t xml:space="preserve">多功能抑尘车，有一台得1分，最高得1分</w:t>
      </w:r>
      <w:r>
        <w:rPr>
          <w:rFonts w:hint="eastAsia" w:ascii="宋体" w:hAnsi="宋体" w:eastAsia="宋体" w:cs="宋体"/>
          <w:bCs/>
          <w:color w:val="auto"/>
          <w:sz w:val="24"/>
          <w:szCs w:val="24"/>
          <w:highlight w:val="none"/>
          <w:lang w:eastAsia="zh-CN"/>
        </w:rPr>
        <w:t xml:space="preserve">；</w:t>
      </w:r>
      <w:r/>
    </w:p>
    <w:p>
      <w:pPr>
        <w:pStyle w:val="102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配备</w:t>
      </w:r>
      <w:r>
        <w:rPr>
          <w:rFonts w:hint="eastAsia" w:ascii="宋体" w:hAnsi="宋体" w:eastAsia="宋体" w:cs="宋体"/>
          <w:bCs/>
          <w:color w:val="auto"/>
          <w:sz w:val="24"/>
          <w:szCs w:val="24"/>
          <w:highlight w:val="none"/>
        </w:rPr>
        <w:t xml:space="preserve">用于接送养护工人的客车，10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17座的得0.5分，18座以上的得1分，最高得1分；</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配备</w:t>
      </w:r>
      <w:r>
        <w:rPr>
          <w:rFonts w:hint="eastAsia" w:ascii="宋体" w:hAnsi="宋体" w:eastAsia="宋体" w:cs="宋体"/>
          <w:bCs/>
          <w:color w:val="auto"/>
          <w:sz w:val="24"/>
          <w:szCs w:val="24"/>
          <w:highlight w:val="none"/>
        </w:rPr>
        <w:t xml:space="preserve">自卸式垃圾清运车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有一辆得1分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最高得1分；</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配备</w:t>
      </w:r>
      <w:r>
        <w:rPr>
          <w:rFonts w:hint="eastAsia" w:ascii="宋体" w:hAnsi="宋体" w:eastAsia="宋体" w:cs="宋体"/>
          <w:bCs/>
          <w:color w:val="auto"/>
          <w:sz w:val="24"/>
          <w:szCs w:val="24"/>
          <w:highlight w:val="none"/>
        </w:rPr>
        <w:t xml:space="preserve">树枝粉碎机、高枝绿篱机</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有一</w:t>
      </w:r>
      <w:r>
        <w:rPr>
          <w:rFonts w:hint="eastAsia" w:ascii="宋体" w:hAnsi="宋体" w:eastAsia="宋体" w:cs="宋体"/>
          <w:bCs/>
          <w:color w:val="auto"/>
          <w:sz w:val="24"/>
          <w:szCs w:val="24"/>
          <w:highlight w:val="none"/>
          <w:lang w:val="en-US" w:eastAsia="zh-CN"/>
        </w:rPr>
        <w:t xml:space="preserve">类</w:t>
      </w:r>
      <w:r>
        <w:rPr>
          <w:rFonts w:hint="eastAsia" w:ascii="宋体" w:hAnsi="宋体" w:eastAsia="宋体" w:cs="宋体"/>
          <w:bCs/>
          <w:color w:val="auto"/>
          <w:sz w:val="24"/>
          <w:szCs w:val="24"/>
          <w:highlight w:val="none"/>
        </w:rPr>
        <w:t xml:space="preserve">得0.5分，最高得1分。</w:t>
      </w:r>
      <w:r/>
    </w:p>
    <w:p>
      <w:pPr>
        <w:pStyle w:val="1026"/>
        <w:numPr>
          <w:ilvl w:val="0"/>
          <w:numId w:val="0"/>
        </w:numPr>
        <w:ind w:left="0" w:firstLine="521"/>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default"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 xml:space="preserve">自有的提供车辆（或设备）购置发票</w:t>
      </w:r>
      <w:r>
        <w:rPr>
          <w:rFonts w:hint="eastAsia" w:ascii="宋体" w:hAnsi="宋体" w:eastAsia="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有效调拨单、车辆（或设备）照片（车牌清晰可见）、车辆行驶证；</w:t>
      </w:r>
      <w:r>
        <w:rPr>
          <w:rFonts w:hint="default"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 xml:space="preserve">租赁的除以上材料还需提供租赁协议（租赁期必须包含本项目实施期）及租赁费发票；提供以上证明文件扫描件放入电子投标文件，未按要求提供不得分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③如投标时不具备养护</w:t>
      </w:r>
      <w:r>
        <w:rPr>
          <w:rFonts w:hint="eastAsia" w:ascii="宋体" w:hAnsi="宋体" w:eastAsia="宋体" w:cs="宋体"/>
          <w:bCs/>
          <w:color w:val="auto"/>
          <w:sz w:val="24"/>
          <w:szCs w:val="24"/>
          <w:highlight w:val="none"/>
          <w:lang w:val="en-US" w:eastAsia="zh-CN"/>
        </w:rPr>
        <w:t xml:space="preserve">车辆、机械</w:t>
      </w:r>
      <w:r>
        <w:rPr>
          <w:rFonts w:hint="eastAsia" w:ascii="宋体" w:hAnsi="宋体" w:eastAsia="宋体" w:cs="宋体"/>
          <w:bCs/>
          <w:color w:val="auto"/>
          <w:sz w:val="24"/>
          <w:szCs w:val="24"/>
          <w:highlight w:val="none"/>
        </w:rPr>
        <w:t xml:space="preserve">设备的，可提供承诺书（格式见附件承诺书），承诺中标公告发布之日起</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个</w:t>
      </w:r>
      <w:r>
        <w:rPr>
          <w:rFonts w:hint="eastAsia" w:ascii="宋体" w:hAnsi="宋体" w:eastAsia="宋体" w:cs="宋体"/>
          <w:bCs/>
          <w:color w:val="auto"/>
          <w:sz w:val="24"/>
          <w:szCs w:val="24"/>
          <w:highlight w:val="none"/>
          <w:lang w:val="en-US" w:eastAsia="zh-CN"/>
        </w:rPr>
        <w:t xml:space="preserve">日历天须</w:t>
      </w:r>
      <w:r>
        <w:rPr>
          <w:rFonts w:hint="eastAsia" w:ascii="宋体" w:hAnsi="宋体" w:eastAsia="宋体" w:cs="宋体"/>
          <w:bCs/>
          <w:color w:val="auto"/>
          <w:sz w:val="24"/>
          <w:szCs w:val="24"/>
          <w:highlight w:val="none"/>
        </w:rPr>
        <w:t xml:space="preserve">提供相应的养护车辆、机械设备，并按承诺配备到位的养护车辆、机械设备种类获得相应分值，未提供承诺书的不得分</w:t>
      </w:r>
      <w:r>
        <w:rPr>
          <w:rFonts w:hint="eastAsia" w:ascii="宋体" w:hAnsi="宋体" w:eastAsia="宋体" w:cs="宋体"/>
          <w:bCs/>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55</w:t>
      </w:r>
      <w:r>
        <w:rPr>
          <w:rFonts w:hint="eastAsia" w:ascii="宋体" w:hAnsi="宋体" w:cs="宋体"/>
          <w:b/>
          <w:bCs/>
          <w:color w:val="auto"/>
          <w:sz w:val="24"/>
          <w:szCs w:val="24"/>
          <w:highlight w:val="none"/>
        </w:rPr>
        <w:t xml:space="preserve">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项目总体概述（5分）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5分；以上内容存在1处瑕疵的该条得3分；未进行阐述或不满足采购需求或内容存在2处及以上瑕疵的该条得0分；本项最高得5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养护管理制度（5分）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但不限于公司管理体系、养护考核制度、日常养护管理方案、项目人员责任制落实措施、养护台账体系等。投标供应商针对上述内容进行阐述，要求阐述内容合理、针对性强、切实可行有效。以上内容不存在瑕疵的该条得5分；以上内容存在1处瑕疵的该条得3分；未进行阐述或不满足采购需求或内容存在2处及以上瑕疵的该条得0分；本项最高得5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项目养护方案（12分）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主要包括①养护计划、作业规范（3分）；②养护管理制度和养护管理档案（3分）；③专项养护方案（3分）；④园林绿化废弃物处置方案（3分）。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3分；以上内容存在1处瑕疵的该条得1.5分；未进行阐述或不满足采购需求或内容存在2处及以上瑕疵的该条得0分；本项最高得12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养护安全文明措施方案（8分）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主要包括①养护安全管理方案（4分）；②养护文明措施管理方案（4分）。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4分；以上内容存在1处瑕疵的该条得2分；未进行阐述或不满足采购需求或内容存在2处及以上瑕疵的该条得0分；本项最高得8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快速保障应急措施方案（9分）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包括①日常应急预案（3分）；②灾害性天气（防汛、防冻、防雪）养护防护应急措施、交通应急措施（3分）；③重大活动、各类创建活动、重大事故的快速处理预案（3分）。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3分；以上内容存在1处瑕疵的该条得1.5分；未进行阐述或不满足采购需求或内容存在2处及以上瑕疵的该条得0分；本项最高得9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内部管理架构（6分）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包括：①人员组织、分工、责任制度（3分）；②日常考核、激励考核机制、监督机制（3分）。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3分；以上内容存在1处瑕疵的该条得1.5分；未进行阐述或不满足采购需求或内容存在2处及以上瑕疵的该条得0分；本项最高得6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质量保证措施方案（4分）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采用有效措施，达到养护要求质量标准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4分；以上内容存在1处瑕疵的该条得2分；未进行阐述或不满足采购需求或内容存在2处及以上瑕疵的该条得0分；本项最高得4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安全文明保障措施方案（</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包括：①安全养护指导思想、各类安全防护措施（</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分）；②安全文明制度、安全教育制度（</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投标供应商针对上述内容进行阐述，要求阐述内容合理、针对性强、切实可行有效。以上内容不存在瑕疵的该条得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分；以上内容存在1处瑕疵的该条得2分；未进行阐述或不满足采购需求或内容存在2处及以上瑕疵的该条得0分；本项最高得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p>
      <w:pPr>
        <w:pStyle w:val="100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22"/>
        <w:jc w:val="left"/>
        <w:keepLines w:val="0"/>
        <w:keepNext w:val="0"/>
        <w:pageBreakBefore w:val="0"/>
        <w:spacing w:line="360" w:lineRule="auto"/>
        <w:widowControl w:val="off"/>
        <w:rPr>
          <w:rFonts w:hint="eastAsia"/>
          <w:b/>
          <w:color w:val="auto"/>
          <w:sz w:val="24"/>
          <w:szCs w:val="24"/>
          <w:highlight w:val="none"/>
          <w:lang w:val="en-US" w:eastAsia="zh-CN"/>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pStyle w:val="933"/>
        <w:ind w:left="0" w:right="0" w:firstLine="480"/>
        <w:spacing w:line="360" w:lineRule="auto"/>
        <w:rPr>
          <w:rFonts w:eastAsia="黑体"/>
          <w:bCs/>
          <w:color w:val="auto"/>
          <w:szCs w:val="24"/>
          <w:highlight w:val="none"/>
        </w:rPr>
      </w:pPr>
      <w:r>
        <w:rPr>
          <w:rFonts w:eastAsia="黑体"/>
          <w:bCs/>
          <w:color w:val="auto"/>
          <w:szCs w:val="24"/>
          <w:highlight w:val="none"/>
        </w:rPr>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JSZC-320211-BJZC-G2026-0007</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2026年滨湖区区管绿化老设施养护服务项目</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12" w:name="一．报价函（格式）"/>
      <w:r/>
      <w:bookmarkEnd w:id="12"/>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JSZC-320211-BJZC-G2026-0007</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4"/>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w:t>
      </w:r>
      <w:r>
        <w:rPr>
          <w:rFonts w:hint="eastAsia"/>
          <w:bCs/>
          <w:color w:val="auto"/>
          <w:sz w:val="24"/>
          <w:szCs w:val="24"/>
          <w:highlight w:val="none"/>
          <w:lang w:eastAsia="zh-CN"/>
        </w:rPr>
        <w:t xml:space="preserve">按照《中华人民共和国</w:t>
      </w:r>
      <w:r>
        <w:rPr>
          <w:bCs/>
          <w:color w:val="auto"/>
          <w:sz w:val="24"/>
          <w:szCs w:val="24"/>
          <w:highlight w:val="none"/>
        </w:rPr>
        <w:t xml:space="preserve">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w:t>
      </w:r>
      <w:r>
        <w:rPr>
          <w:rFonts w:hint="eastAsia"/>
          <w:bCs/>
          <w:color w:val="auto"/>
          <w:sz w:val="24"/>
          <w:szCs w:val="24"/>
          <w:highlight w:val="none"/>
        </w:rPr>
        <w:t xml:space="preserve">投标（响应）保证承诺书</w:t>
      </w:r>
      <w:r>
        <w:rPr>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13" w:name="报价方关于资格的声明函（格式）"/>
      <w:r/>
      <w:bookmarkEnd w:id="13"/>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北京中昌工程咨询有限公司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JSZC-320211-BJZC-G2026-0007</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JSZC-320211-BJZC-G2026-0007</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北京中昌工程咨询有限公司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JSZC-320211-BJZC-G2026-0007</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lang w:eastAsia="zh-CN"/>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hint="eastAsia" w:ascii="宋体" w:hAnsi="宋体" w:eastAsia="宋体"/>
          <w:b/>
          <w:bCs/>
          <w:color w:val="auto"/>
          <w:sz w:val="28"/>
          <w:szCs w:val="28"/>
          <w:highlight w:val="none"/>
        </w:rPr>
        <w:outlineLvl w:val="9"/>
      </w:pPr>
      <w:r>
        <w:rPr>
          <w:rFonts w:hint="eastAsia" w:ascii="宋体" w:hAnsi="宋体" w:eastAsia="宋体"/>
          <w:b/>
          <w:bCs/>
          <w:color w:val="auto"/>
          <w:sz w:val="28"/>
          <w:szCs w:val="28"/>
          <w:highlight w:val="none"/>
        </w:rPr>
      </w:r>
      <w:r/>
    </w:p>
    <w:p>
      <w:pPr>
        <w:jc w:val="center"/>
        <w:spacing w:before="4" w:line="360" w:lineRule="auto"/>
        <w:widowControl/>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承诺书一</w:t>
      </w:r>
      <w:r>
        <w:rPr>
          <w:rFonts w:hint="eastAsia" w:ascii="宋体" w:hAnsi="宋体" w:eastAsia="宋体" w:cs="Times New Roman"/>
          <w:b/>
          <w:color w:val="auto"/>
          <w:sz w:val="28"/>
          <w:szCs w:val="28"/>
          <w:highlight w:val="none"/>
          <w:lang w:eastAsia="zh-CN"/>
        </w:rPr>
        <w:t xml:space="preserve">（</w:t>
      </w:r>
      <w:r>
        <w:rPr>
          <w:rFonts w:hint="eastAsia" w:ascii="宋体" w:hAnsi="宋体" w:eastAsia="宋体" w:cs="Times New Roman"/>
          <w:b/>
          <w:color w:val="auto"/>
          <w:sz w:val="28"/>
          <w:szCs w:val="28"/>
          <w:highlight w:val="none"/>
        </w:rPr>
        <w:t xml:space="preserve">格式</w:t>
      </w:r>
      <w:r>
        <w:rPr>
          <w:rFonts w:hint="eastAsia" w:ascii="宋体" w:hAnsi="宋体" w:eastAsia="宋体" w:cs="Times New Roman"/>
          <w:b/>
          <w:color w:val="auto"/>
          <w:sz w:val="28"/>
          <w:szCs w:val="28"/>
          <w:highlight w:val="none"/>
          <w:lang w:eastAsia="zh-CN"/>
        </w:rPr>
        <w:t xml:space="preserve">）</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color w:val="auto"/>
          <w:sz w:val="24"/>
          <w:szCs w:val="24"/>
          <w:highlight w:val="none"/>
          <w:u w:val="single"/>
        </w:rPr>
        <w:t xml:space="preserve">    （采购人名称）           </w:t>
      </w:r>
      <w:r/>
    </w:p>
    <w:p>
      <w:pPr>
        <w:ind w:firstLine="48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我公司自愿参加贵单位（公司）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若我司中标，我单位承诺</w:t>
      </w:r>
      <w:r>
        <w:rPr>
          <w:rFonts w:hint="eastAsia" w:ascii="宋体" w:hAnsi="宋体" w:cs="Times New Roman"/>
          <w:color w:val="auto"/>
          <w:sz w:val="24"/>
          <w:szCs w:val="24"/>
          <w:highlight w:val="none"/>
          <w:lang w:eastAsia="zh-CN"/>
        </w:rPr>
        <w:t xml:space="preserve">，将</w:t>
      </w:r>
      <w:r>
        <w:rPr>
          <w:rFonts w:hint="eastAsia" w:ascii="宋体" w:hAnsi="宋体" w:eastAsia="宋体" w:cs="Times New Roman"/>
          <w:color w:val="auto"/>
          <w:sz w:val="24"/>
          <w:szCs w:val="24"/>
          <w:highlight w:val="none"/>
        </w:rPr>
        <w:t xml:space="preserve">绿化废弃物堆放至采购人指定地点。</w:t>
      </w:r>
      <w:r/>
    </w:p>
    <w:p>
      <w:pPr>
        <w:ind w:firstLine="48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480" w:firstLine="480"/>
        <w:jc w:val="right"/>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p>
    <w:p>
      <w:pPr>
        <w:ind w:firstLine="456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年    月    日</w:t>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br w:type="page" w:clear="all"/>
      </w:r>
      <w:r/>
    </w:p>
    <w:p>
      <w:pPr>
        <w:jc w:val="center"/>
        <w:spacing w:before="4" w:line="360" w:lineRule="auto"/>
        <w:widowControl/>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承诺书二（格式）</w:t>
      </w:r>
      <w:r/>
    </w:p>
    <w:p>
      <w:pPr>
        <w:ind w:firstLine="12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（采购人名称）      </w:t>
      </w:r>
      <w:r>
        <w:rPr>
          <w:rFonts w:hint="eastAsia" w:ascii="宋体" w:hAnsi="宋体" w:eastAsia="宋体" w:cs="Times New Roman"/>
          <w:color w:val="auto"/>
          <w:sz w:val="24"/>
          <w:szCs w:val="24"/>
          <w:highlight w:val="none"/>
        </w:rPr>
        <w:t xml:space="preserve">：</w:t>
      </w:r>
      <w:r/>
    </w:p>
    <w:p>
      <w:pPr>
        <w:ind w:firstLine="1080"/>
        <w:spacing w:before="240"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我公司保证参与</w:t>
      </w:r>
      <w:r>
        <w:rPr>
          <w:rFonts w:hint="eastAsia" w:ascii="宋体" w:hAnsi="宋体" w:eastAsia="宋体" w:cs="Times New Roman"/>
          <w:color w:val="auto"/>
          <w:sz w:val="24"/>
          <w:szCs w:val="24"/>
          <w:highlight w:val="none"/>
          <w:u w:val="single"/>
        </w:rPr>
        <w:t xml:space="preserve">         （拟采购项目名称）</w:t>
      </w:r>
      <w:r>
        <w:rPr>
          <w:rFonts w:hint="eastAsia" w:ascii="宋体" w:hAnsi="宋体" w:eastAsia="宋体" w:cs="Times New Roman"/>
          <w:color w:val="auto"/>
          <w:sz w:val="24"/>
          <w:szCs w:val="24"/>
          <w:highlight w:val="none"/>
        </w:rPr>
        <w:t xml:space="preserve">投标的拟任项目经理无任何在建工程，提交的项目经理的职称证书/注册建造师注册证书原件是真实的，以上承诺如有不实，采购人可取消我方投标资格，如中标采购人可取消本公司的中标资格，我公</w:t>
      </w:r>
      <w:r>
        <w:rPr>
          <w:rFonts w:hint="eastAsia" w:ascii="宋体" w:hAnsi="宋体" w:cs="Times New Roman"/>
          <w:color w:val="auto"/>
          <w:sz w:val="24"/>
          <w:szCs w:val="24"/>
          <w:highlight w:val="none"/>
          <w:lang w:eastAsia="zh-CN"/>
        </w:rPr>
        <w:t xml:space="preserve">司将</w:t>
      </w:r>
      <w:r>
        <w:rPr>
          <w:rFonts w:hint="eastAsia" w:ascii="宋体" w:hAnsi="宋体" w:eastAsia="宋体" w:cs="Times New Roman"/>
          <w:color w:val="auto"/>
          <w:sz w:val="24"/>
          <w:szCs w:val="24"/>
          <w:highlight w:val="none"/>
        </w:rPr>
        <w:t xml:space="preserve">承担一切由此造成的法律后果。</w:t>
      </w:r>
      <w:r/>
    </w:p>
    <w:p>
      <w:pPr>
        <w:ind w:firstLine="480"/>
        <w:spacing w:before="240"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480"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ind w:right="960" w:firstLine="4560"/>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项目经理签名或盖章：</w:t>
      </w:r>
      <w:r/>
    </w:p>
    <w:p>
      <w:pPr>
        <w:ind w:right="1860" w:firstLine="4800"/>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年    月    日</w:t>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br w:type="page" w:clear="all"/>
      </w:r>
      <w:r/>
    </w:p>
    <w:p>
      <w:pPr>
        <w:jc w:val="center"/>
        <w:spacing w:before="4" w:line="360" w:lineRule="auto"/>
        <w:widowControl/>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center"/>
        <w:spacing w:before="4" w:line="360" w:lineRule="auto"/>
        <w:widowControl/>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承诺书三（格式）</w:t>
      </w:r>
      <w:r/>
    </w:p>
    <w:p>
      <w:pPr>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color w:val="auto"/>
          <w:sz w:val="24"/>
          <w:szCs w:val="24"/>
          <w:highlight w:val="none"/>
          <w:u w:val="single"/>
        </w:rPr>
        <w:t xml:space="preserve">    （采购人名称）           </w:t>
      </w:r>
      <w:r/>
    </w:p>
    <w:p>
      <w:pPr>
        <w:ind w:firstLine="480"/>
        <w:spacing w:before="240" w:line="360" w:lineRule="auto"/>
        <w:rPr>
          <w:rFonts w:hint="eastAsia" w:ascii="宋体" w:hAnsi="宋体" w:eastAsia="宋体" w:cs="黑体"/>
          <w:color w:val="auto"/>
          <w:sz w:val="24"/>
          <w:szCs w:val="24"/>
          <w:highlight w:val="none"/>
          <w:lang w:val="zh-CN"/>
        </w:rPr>
      </w:pPr>
      <w:r>
        <w:rPr>
          <w:rFonts w:hint="eastAsia" w:ascii="宋体" w:hAnsi="宋体" w:eastAsia="宋体" w:cs="Times New Roman"/>
          <w:color w:val="auto"/>
          <w:sz w:val="24"/>
          <w:szCs w:val="24"/>
          <w:highlight w:val="none"/>
        </w:rPr>
        <w:t xml:space="preserve">我公司保证参与</w:t>
      </w:r>
      <w:r>
        <w:rPr>
          <w:rFonts w:hint="eastAsia" w:ascii="宋体" w:hAnsi="宋体" w:eastAsia="宋体" w:cs="Times New Roman"/>
          <w:color w:val="auto"/>
          <w:sz w:val="24"/>
          <w:szCs w:val="24"/>
          <w:highlight w:val="none"/>
          <w:u w:val="single"/>
        </w:rPr>
        <w:t xml:space="preserve">（拟招标项目名称）</w:t>
      </w:r>
      <w:r>
        <w:rPr>
          <w:rFonts w:hint="eastAsia" w:ascii="宋体" w:hAnsi="宋体" w:eastAsia="宋体" w:cs="Times New Roman"/>
          <w:color w:val="auto"/>
          <w:sz w:val="24"/>
          <w:szCs w:val="24"/>
          <w:highlight w:val="none"/>
        </w:rPr>
        <w:t xml:space="preserve">投标的</w:t>
      </w:r>
      <w:r>
        <w:rPr>
          <w:rFonts w:hint="eastAsia" w:ascii="宋体" w:hAnsi="宋体" w:eastAsia="宋体" w:cs="黑体"/>
          <w:color w:val="auto"/>
          <w:sz w:val="24"/>
          <w:szCs w:val="24"/>
          <w:highlight w:val="none"/>
          <w:lang w:val="zh-CN"/>
        </w:rPr>
        <w:t xml:space="preserve">投标文件中的所有资料都是真实可信的，没有弄虚作假，否则，愿意放弃在工程所在地一定期限内的投标权。</w:t>
      </w:r>
      <w:r/>
    </w:p>
    <w:p>
      <w:pPr>
        <w:ind w:firstLine="480"/>
        <w:spacing w:before="240" w:line="360" w:lineRule="auto"/>
        <w:rPr>
          <w:rFonts w:hint="eastAsia" w:ascii="宋体" w:hAnsi="宋体" w:eastAsia="宋体" w:cs="黑体"/>
          <w:color w:val="auto"/>
          <w:sz w:val="24"/>
          <w:szCs w:val="24"/>
          <w:highlight w:val="none"/>
          <w:lang w:val="zh-CN"/>
        </w:rPr>
      </w:pPr>
      <w:r>
        <w:rPr>
          <w:rFonts w:hint="eastAsia" w:ascii="宋体" w:hAnsi="宋体" w:eastAsia="宋体" w:cs="黑体"/>
          <w:color w:val="auto"/>
          <w:sz w:val="24"/>
          <w:szCs w:val="24"/>
          <w:highlight w:val="none"/>
          <w:lang w:val="zh-CN"/>
        </w:rPr>
        <w:t xml:space="preserve">我公司</w:t>
      </w:r>
      <w:r>
        <w:rPr>
          <w:rFonts w:hint="eastAsia" w:ascii="宋体" w:hAnsi="宋体" w:eastAsia="宋体" w:cs="Times New Roman"/>
          <w:color w:val="auto"/>
          <w:sz w:val="24"/>
          <w:szCs w:val="24"/>
          <w:highlight w:val="none"/>
        </w:rPr>
        <w:t xml:space="preserve">保证参与</w:t>
      </w:r>
      <w:r>
        <w:rPr>
          <w:rFonts w:hint="eastAsia" w:ascii="宋体" w:hAnsi="宋体" w:eastAsia="宋体" w:cs="Times New Roman"/>
          <w:color w:val="auto"/>
          <w:sz w:val="24"/>
          <w:szCs w:val="24"/>
          <w:highlight w:val="none"/>
          <w:u w:val="single"/>
        </w:rPr>
        <w:t xml:space="preserve">（拟招标项目名称）</w:t>
      </w:r>
      <w:r>
        <w:rPr>
          <w:rFonts w:hint="eastAsia" w:ascii="宋体" w:hAnsi="宋体" w:eastAsia="宋体" w:cs="Times New Roman"/>
          <w:color w:val="auto"/>
          <w:sz w:val="24"/>
          <w:szCs w:val="24"/>
          <w:highlight w:val="none"/>
        </w:rPr>
        <w:t xml:space="preserve">投标</w:t>
      </w:r>
      <w:r>
        <w:rPr>
          <w:rFonts w:hint="eastAsia" w:ascii="宋体" w:hAnsi="宋体" w:eastAsia="宋体" w:cs="黑体"/>
          <w:color w:val="auto"/>
          <w:sz w:val="24"/>
          <w:szCs w:val="24"/>
          <w:highlight w:val="none"/>
          <w:lang w:val="zh-CN"/>
        </w:rPr>
        <w:t xml:space="preserve">不组织、不参与串标围标，没有出借资质等违法违规行为，如中标养护期内被采购人查实有上述行为，无条件终止合同，放弃下一轮滨湖区绿化养护投标权，并由采购人将违法违规行为抄报建设行政部门按《江苏省建筑业企业信用管理办法》进行信用考评，考评结果应用于全国招标市场；</w:t>
      </w:r>
      <w:r/>
    </w:p>
    <w:p>
      <w:pPr>
        <w:ind w:firstLine="480"/>
        <w:spacing w:before="240" w:line="360" w:lineRule="auto"/>
        <w:rPr>
          <w:rFonts w:hint="eastAsia" w:ascii="宋体" w:hAnsi="宋体" w:eastAsia="宋体" w:cs="黑体"/>
          <w:color w:val="auto"/>
          <w:sz w:val="24"/>
          <w:szCs w:val="24"/>
          <w:highlight w:val="none"/>
          <w:lang w:val="zh-CN"/>
        </w:rPr>
      </w:pPr>
      <w:r>
        <w:rPr>
          <w:rFonts w:hint="eastAsia" w:ascii="宋体" w:hAnsi="宋体" w:eastAsia="宋体" w:cs="黑体"/>
          <w:color w:val="auto"/>
          <w:sz w:val="24"/>
          <w:szCs w:val="24"/>
          <w:highlight w:val="none"/>
          <w:lang w:val="zh-CN"/>
        </w:rPr>
        <w:t xml:space="preserve">我公司</w:t>
      </w:r>
      <w:r>
        <w:rPr>
          <w:rFonts w:hint="eastAsia" w:ascii="宋体" w:hAnsi="宋体" w:eastAsia="宋体" w:cs="Times New Roman"/>
          <w:color w:val="auto"/>
          <w:sz w:val="24"/>
          <w:szCs w:val="24"/>
          <w:highlight w:val="none"/>
        </w:rPr>
        <w:t xml:space="preserve">保证参与</w:t>
      </w:r>
      <w:r>
        <w:rPr>
          <w:rFonts w:hint="eastAsia" w:ascii="宋体" w:hAnsi="宋体" w:eastAsia="宋体" w:cs="Times New Roman"/>
          <w:color w:val="auto"/>
          <w:sz w:val="24"/>
          <w:szCs w:val="24"/>
          <w:highlight w:val="none"/>
          <w:u w:val="single"/>
        </w:rPr>
        <w:t xml:space="preserve">（拟招标项目名称）的</w:t>
      </w:r>
      <w:r>
        <w:rPr>
          <w:rFonts w:hint="eastAsia" w:ascii="宋体" w:hAnsi="宋体" w:eastAsia="宋体" w:cs="Times New Roman"/>
          <w:color w:val="auto"/>
          <w:sz w:val="24"/>
          <w:szCs w:val="24"/>
          <w:highlight w:val="none"/>
        </w:rPr>
        <w:t xml:space="preserve">投标</w:t>
      </w:r>
      <w:r>
        <w:rPr>
          <w:rFonts w:hint="eastAsia" w:ascii="宋体" w:hAnsi="宋体" w:eastAsia="宋体" w:cs="黑体"/>
          <w:color w:val="auto"/>
          <w:sz w:val="24"/>
          <w:szCs w:val="24"/>
          <w:highlight w:val="none"/>
          <w:lang w:val="zh-CN"/>
        </w:rPr>
        <w:t xml:space="preserve">一旦中标，中标项目负责人及项目班组常驻施工现场，拟派的投标项目负责人和技术工人若在本招标项目中标后，在合同履行期间不参与其他行政区域项目的投标活动；一线作业人员不得参与其他养护项目，所有参与本项目的项目组成员及作业人员须在业主单位进行登记备案，信息供全市范围内共享。绝不违法分包、转包。</w:t>
      </w:r>
      <w:r/>
    </w:p>
    <w:p>
      <w:pPr>
        <w:ind w:firstLine="480"/>
        <w:spacing w:before="240" w:line="360" w:lineRule="auto"/>
        <w:rPr>
          <w:rFonts w:hint="eastAsia" w:ascii="宋体" w:hAnsi="宋体" w:eastAsia="宋体" w:cs="黑体"/>
          <w:color w:val="auto"/>
          <w:sz w:val="24"/>
          <w:szCs w:val="24"/>
          <w:highlight w:val="none"/>
          <w:lang w:val="zh-CN"/>
        </w:rPr>
      </w:pPr>
      <w:r>
        <w:rPr>
          <w:rFonts w:hint="eastAsia" w:ascii="宋体" w:hAnsi="宋体" w:eastAsia="宋体" w:cs="Times New Roman"/>
          <w:color w:val="auto"/>
          <w:sz w:val="24"/>
          <w:szCs w:val="24"/>
          <w:highlight w:val="none"/>
        </w:rPr>
        <w:t xml:space="preserve">以上承诺如有不实，采购人可取消我方投标资格，如中标采购人可取消本公司的中标资格，我公司承担一切由此造成的法律后果。</w:t>
      </w:r>
      <w:r/>
    </w:p>
    <w:p>
      <w:pPr>
        <w:ind w:firstLine="480"/>
        <w:spacing w:before="240"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before="240"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right="720"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1440" w:firstLine="4560"/>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ind w:right="480" w:firstLine="480"/>
        <w:jc w:val="lef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                                  </w:t>
      </w:r>
      <w:r>
        <w:rPr>
          <w:rFonts w:hint="eastAsia" w:ascii="宋体" w:hAnsi="宋体" w:eastAsia="宋体" w:cs="Times New Roman"/>
          <w:bCs/>
          <w:color w:val="auto"/>
          <w:sz w:val="24"/>
          <w:szCs w:val="24"/>
          <w:highlight w:val="none"/>
        </w:rPr>
        <w:t xml:space="preserve">年     月    日</w:t>
      </w:r>
      <w:r/>
    </w:p>
    <w:p>
      <w:pPr>
        <w:jc w:val="center"/>
        <w:spacing w:before="4" w:line="360" w:lineRule="auto"/>
        <w:widowControl/>
        <w:rPr>
          <w:rFonts w:hint="eastAsia" w:ascii="宋体" w:hAnsi="宋体" w:eastAsia="宋体" w:cs="Times New Roman"/>
          <w:b/>
          <w:color w:val="auto"/>
          <w:sz w:val="28"/>
          <w:szCs w:val="28"/>
          <w:highlight w:val="none"/>
        </w:rPr>
      </w:pPr>
      <w:r>
        <w:rPr>
          <w:rFonts w:hint="default" w:ascii="宋体" w:hAnsi="宋体" w:eastAsia="宋体" w:cs="Times New Roman"/>
          <w:b/>
          <w:color w:val="auto"/>
          <w:sz w:val="32"/>
          <w:szCs w:val="32"/>
          <w:highlight w:val="none"/>
        </w:rPr>
        <w:br w:type="page" w:clear="all"/>
      </w:r>
      <w:r>
        <w:rPr>
          <w:rFonts w:hint="eastAsia" w:ascii="宋体" w:hAnsi="宋体" w:eastAsia="宋体" w:cs="Times New Roman"/>
          <w:b/>
          <w:color w:val="auto"/>
          <w:sz w:val="28"/>
          <w:szCs w:val="28"/>
          <w:highlight w:val="none"/>
        </w:rPr>
        <w:t xml:space="preserve">承诺书四 不拖欠农民工工资承诺书（格式）</w:t>
      </w:r>
      <w:r/>
    </w:p>
    <w:p>
      <w:pPr>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致：</w:t>
      </w:r>
      <w:r>
        <w:rPr>
          <w:rFonts w:hint="eastAsia" w:ascii="宋体" w:hAnsi="宋体" w:eastAsia="宋体" w:cs="Times New Roman"/>
          <w:color w:val="auto"/>
          <w:sz w:val="24"/>
          <w:szCs w:val="24"/>
          <w:highlight w:val="none"/>
          <w:u w:val="single"/>
        </w:rPr>
        <w:t xml:space="preserve">   （采购人名称）    </w:t>
      </w:r>
      <w:r/>
    </w:p>
    <w:p>
      <w:pPr>
        <w:ind w:firstLine="513"/>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为保护农民工的合法权益，不拖欠农民工工资，本</w:t>
      </w:r>
      <w:r>
        <w:rPr>
          <w:rFonts w:hint="eastAsia" w:ascii="宋体" w:hAnsi="宋体" w:eastAsia="宋体" w:cs="Times New Roman"/>
          <w:color w:val="auto"/>
          <w:sz w:val="24"/>
          <w:szCs w:val="24"/>
          <w:highlight w:val="none"/>
        </w:rPr>
        <w:t xml:space="preserve">签名</w:t>
      </w:r>
      <w:r>
        <w:rPr>
          <w:rFonts w:hint="default" w:ascii="宋体" w:hAnsi="宋体" w:eastAsia="宋体" w:cs="Times New Roman"/>
          <w:color w:val="auto"/>
          <w:sz w:val="24"/>
          <w:szCs w:val="24"/>
          <w:highlight w:val="none"/>
        </w:rPr>
        <w:t xml:space="preserve">人郑重承诺：</w:t>
      </w:r>
      <w:r/>
    </w:p>
    <w:p>
      <w:pPr>
        <w:ind w:firstLine="513"/>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本企业如果中标承建</w:t>
      </w:r>
      <w:r>
        <w:rPr>
          <w:rFonts w:hint="eastAsia" w:ascii="宋体" w:hAnsi="宋体" w:eastAsia="宋体" w:cs="Times New Roman"/>
          <w:color w:val="auto"/>
          <w:sz w:val="24"/>
          <w:szCs w:val="24"/>
          <w:highlight w:val="none"/>
          <w:u w:val="single"/>
        </w:rPr>
        <w:t xml:space="preserve">                       工程</w:t>
      </w:r>
      <w:r>
        <w:rPr>
          <w:rFonts w:hint="default" w:ascii="宋体" w:hAnsi="宋体" w:eastAsia="宋体" w:cs="Times New Roman"/>
          <w:color w:val="auto"/>
          <w:sz w:val="24"/>
          <w:szCs w:val="24"/>
          <w:highlight w:val="none"/>
        </w:rPr>
        <w:t xml:space="preserve">项目，需要使用农民工时，将保证做到：</w:t>
      </w:r>
      <w:r/>
    </w:p>
    <w:p>
      <w:pPr>
        <w:ind w:firstLine="513"/>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default"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lang w:eastAsia="zh-CN"/>
        </w:rPr>
        <w:t xml:space="preserve">中华人民共和国劳动法</w:t>
      </w:r>
      <w:r>
        <w:rPr>
          <w:rFonts w:hint="default" w:ascii="宋体" w:hAnsi="宋体" w:eastAsia="宋体" w:cs="Times New Roman"/>
          <w:color w:val="auto"/>
          <w:sz w:val="24"/>
          <w:szCs w:val="24"/>
          <w:highlight w:val="none"/>
        </w:rPr>
        <w:t xml:space="preserve">》规定雇佣和使用农民工，工资将直接发放给农民工本人，严禁发放给“包工头”。</w:t>
      </w:r>
      <w:r/>
    </w:p>
    <w:p>
      <w:pPr>
        <w:ind w:firstLine="513"/>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default" w:ascii="宋体" w:hAnsi="宋体" w:eastAsia="宋体" w:cs="Times New Roman"/>
          <w:color w:val="auto"/>
          <w:sz w:val="24"/>
          <w:szCs w:val="24"/>
          <w:highlight w:val="none"/>
        </w:rPr>
        <w:t xml:space="preserve">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default" w:ascii="宋体" w:hAnsi="宋体" w:eastAsia="宋体" w:cs="Times New Roman"/>
          <w:color w:val="auto"/>
          <w:sz w:val="24"/>
          <w:szCs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eastAsia="宋体" w:cs="Times New Roman"/>
          <w:color w:val="auto"/>
          <w:sz w:val="24"/>
          <w:szCs w:val="24"/>
          <w:highlight w:val="none"/>
          <w:lang w:eastAsia="zh-CN"/>
        </w:rPr>
        <w:t xml:space="preserve">其他</w:t>
      </w:r>
      <w:r>
        <w:rPr>
          <w:rFonts w:hint="default" w:ascii="宋体" w:hAnsi="宋体" w:eastAsia="宋体" w:cs="Times New Roman"/>
          <w:color w:val="auto"/>
          <w:sz w:val="24"/>
          <w:szCs w:val="24"/>
          <w:highlight w:val="none"/>
        </w:rPr>
        <w:t xml:space="preserve">处罚决定。</w:t>
      </w:r>
      <w:r/>
    </w:p>
    <w:p>
      <w:pPr>
        <w:ind w:firstLine="513"/>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default" w:ascii="宋体" w:hAnsi="宋体" w:eastAsia="宋体" w:cs="Times New Roman"/>
          <w:color w:val="auto"/>
          <w:sz w:val="24"/>
          <w:szCs w:val="24"/>
          <w:highlight w:val="none"/>
        </w:rPr>
        <w:t xml:space="preserve">本公司同意：</w:t>
      </w:r>
      <w:r>
        <w:rPr>
          <w:rFonts w:hint="eastAsia" w:ascii="宋体" w:hAnsi="宋体" w:eastAsia="宋体" w:cs="Times New Roman"/>
          <w:color w:val="auto"/>
          <w:sz w:val="24"/>
          <w:szCs w:val="24"/>
          <w:highlight w:val="none"/>
        </w:rPr>
        <w:t xml:space="preserve">在合同执行期间由业主</w:t>
      </w:r>
      <w:r>
        <w:rPr>
          <w:rFonts w:hint="default" w:ascii="宋体" w:hAnsi="宋体" w:eastAsia="宋体" w:cs="Times New Roman"/>
          <w:color w:val="auto"/>
          <w:sz w:val="24"/>
          <w:szCs w:val="24"/>
          <w:highlight w:val="none"/>
        </w:rPr>
        <w:t xml:space="preserve">按</w:t>
      </w:r>
      <w:r>
        <w:rPr>
          <w:rFonts w:hint="eastAsia" w:ascii="宋体" w:hAnsi="宋体" w:eastAsia="宋体" w:cs="Times New Roman"/>
          <w:color w:val="auto"/>
          <w:sz w:val="24"/>
          <w:szCs w:val="24"/>
          <w:highlight w:val="none"/>
        </w:rPr>
        <w:t xml:space="preserve">规定每月扣留工程计量款的1%作为农民工工资保障金：工程结束后，业主代表视承包人对农民工工资支付情况，据实结算返还剩余的保障金。</w:t>
      </w:r>
      <w:r/>
    </w:p>
    <w:p>
      <w:pPr>
        <w:ind w:firstLine="513"/>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513"/>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480" w:firstLine="480"/>
        <w:jc w:val="right"/>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jc w:val="center"/>
        <w:keepLines/>
        <w:keepNext/>
        <w:spacing w:before="260" w:after="260" w:line="415" w:lineRule="auto"/>
        <w:widowControl w:val="off"/>
        <w:rPr>
          <w:rFonts w:ascii="宋体" w:hAnsi="宋体" w:eastAsia="宋体" w:cs="Times New Roman"/>
          <w:b w:val="0"/>
          <w:bCs/>
          <w:color w:val="auto"/>
          <w:sz w:val="24"/>
          <w:szCs w:val="24"/>
          <w:highlight w:val="none"/>
          <w:lang w:val="en-US" w:eastAsia="zh-CN" w:bidi="ar-SA"/>
        </w:rPr>
        <w:outlineLvl w:val="9"/>
      </w:pPr>
      <w:r>
        <w:rPr>
          <w:rFonts w:hint="eastAsia" w:ascii="宋体" w:hAnsi="宋体" w:eastAsia="宋体" w:cs="Times New Roman"/>
          <w:b w:val="0"/>
          <w:bCs/>
          <w:color w:val="auto"/>
          <w:sz w:val="24"/>
          <w:szCs w:val="24"/>
          <w:highlight w:val="none"/>
          <w:lang w:val="en-US" w:eastAsia="zh-CN" w:bidi="ar-SA"/>
        </w:rPr>
        <w:t xml:space="preserve">                年    月    日</w:t>
      </w:r>
      <w:r/>
    </w:p>
    <w:p>
      <w:pPr>
        <w:jc w:val="center"/>
        <w:spacing w:before="4" w:line="360" w:lineRule="auto"/>
        <w:widowControl/>
        <w:rPr>
          <w:rFonts w:hint="eastAsia" w:ascii="宋体" w:hAnsi="宋体" w:eastAsia="宋体" w:cs="Times New Roman"/>
          <w:b/>
          <w:color w:val="auto"/>
          <w:sz w:val="28"/>
          <w:szCs w:val="28"/>
          <w:highlight w:val="none"/>
        </w:rPr>
      </w:pPr>
      <w:r>
        <w:rPr>
          <w:rFonts w:hint="default" w:ascii="宋体" w:hAnsi="宋体" w:eastAsia="宋体" w:cs="Times New Roman"/>
          <w:b/>
          <w:color w:val="auto"/>
          <w:sz w:val="24"/>
          <w:szCs w:val="24"/>
          <w:highlight w:val="none"/>
        </w:rPr>
        <w:br w:type="page" w:clear="all"/>
      </w:r>
      <w:r>
        <w:rPr>
          <w:rFonts w:hint="eastAsia" w:ascii="宋体" w:hAnsi="宋体" w:eastAsia="宋体" w:cs="Times New Roman"/>
          <w:b/>
          <w:color w:val="auto"/>
          <w:sz w:val="28"/>
          <w:szCs w:val="28"/>
          <w:highlight w:val="none"/>
        </w:rPr>
        <w:t xml:space="preserve">承诺书五 廉洁承诺书（格式）</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为了积极配合贵局的政府采购工作，有效遏制不公平竞争和违规违纪问题的发生，确保招标工作的公平、公正、公开，我们保证认真贯彻</w:t>
      </w:r>
      <w:r>
        <w:rPr>
          <w:rFonts w:hint="eastAsia" w:ascii="宋体" w:hAnsi="宋体" w:eastAsia="宋体" w:cs="Times New Roman"/>
          <w:color w:val="auto"/>
          <w:sz w:val="24"/>
          <w:szCs w:val="24"/>
          <w:highlight w:val="none"/>
          <w:lang w:eastAsia="zh-CN"/>
        </w:rPr>
        <w:t xml:space="preserve">《中华人民共和国招标投标法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中华人民共和国政府采购法</w:t>
      </w:r>
      <w:r>
        <w:rPr>
          <w:rFonts w:hint="eastAsia" w:ascii="宋体" w:hAnsi="宋体" w:eastAsia="宋体" w:cs="Times New Roman"/>
          <w:color w:val="auto"/>
          <w:sz w:val="24"/>
          <w:szCs w:val="24"/>
          <w:highlight w:val="none"/>
        </w:rPr>
        <w:t xml:space="preserve">》等相关规定以及相关廉洁要求，特向贵局承诺如下事项：</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自觉遵守国家法律法规及有关廉政建设制度。</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主动了解贵局招投标纪律，积极配合贵局执行招投标廉政建设的有关规定。</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不使用不正当手段妨碍、排挤其他投标单位或串通投标。</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宋体" w:cs="Times New Roman"/>
          <w:color w:val="auto"/>
          <w:sz w:val="24"/>
          <w:szCs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6.</w:t>
      </w:r>
      <w:r>
        <w:rPr>
          <w:rFonts w:hint="eastAsia" w:ascii="宋体" w:hAnsi="宋体" w:eastAsia="宋体" w:cs="Times New Roman"/>
          <w:color w:val="auto"/>
          <w:sz w:val="24"/>
          <w:szCs w:val="24"/>
          <w:highlight w:val="none"/>
        </w:rPr>
        <w:t xml:space="preserve">不向设计招标的单位及个人购置或提供通讯工具、交通工具和高档办公用品等。</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7.</w:t>
      </w:r>
      <w:r>
        <w:rPr>
          <w:rFonts w:hint="eastAsia" w:ascii="宋体" w:hAnsi="宋体" w:eastAsia="宋体" w:cs="Times New Roman"/>
          <w:color w:val="auto"/>
          <w:sz w:val="24"/>
          <w:szCs w:val="24"/>
          <w:highlight w:val="none"/>
        </w:rPr>
        <w:t xml:space="preserve">不向涉及招标的单位及个人的配偶、子女、亲属分包此次招标项目。</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8.</w:t>
      </w:r>
      <w:r>
        <w:rPr>
          <w:rFonts w:hint="eastAsia" w:ascii="宋体" w:hAnsi="宋体" w:eastAsia="宋体" w:cs="Times New Roman"/>
          <w:color w:val="auto"/>
          <w:sz w:val="24"/>
          <w:szCs w:val="24"/>
          <w:highlight w:val="none"/>
        </w:rPr>
        <w:t xml:space="preserve">不向涉及招标的单位及个人支付好处费、介绍费。</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9.</w:t>
      </w:r>
      <w:r>
        <w:rPr>
          <w:rFonts w:hint="eastAsia" w:ascii="宋体" w:hAnsi="宋体" w:eastAsia="宋体" w:cs="Times New Roman"/>
          <w:color w:val="auto"/>
          <w:sz w:val="24"/>
          <w:szCs w:val="24"/>
          <w:highlight w:val="none"/>
        </w:rPr>
        <w:t xml:space="preserve">一旦发现相关人员在招标过程中有索要财物等不廉洁行为，坚决予以抵制，并及时向贵局纪检监察室举报。</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我们若违反上述承诺</w:t>
      </w:r>
      <w:r>
        <w:rPr>
          <w:rFonts w:hint="eastAsia" w:ascii="宋体" w:hAnsi="宋体" w:cs="Times New Roman"/>
          <w:color w:val="auto"/>
          <w:sz w:val="24"/>
          <w:szCs w:val="24"/>
          <w:highlight w:val="none"/>
          <w:lang w:eastAsia="zh-CN"/>
        </w:rPr>
        <w:t xml:space="preserve">，自</w:t>
      </w:r>
      <w:r>
        <w:rPr>
          <w:rFonts w:hint="eastAsia" w:ascii="宋体" w:hAnsi="宋体" w:eastAsia="宋体" w:cs="Times New Roman"/>
          <w:color w:val="auto"/>
          <w:sz w:val="24"/>
          <w:szCs w:val="24"/>
          <w:highlight w:val="none"/>
        </w:rPr>
        <w:t xml:space="preserve">愿</w:t>
      </w:r>
      <w:r>
        <w:rPr>
          <w:rFonts w:hint="eastAsia" w:ascii="宋体" w:hAnsi="宋体" w:cs="Times New Roman"/>
          <w:color w:val="auto"/>
          <w:sz w:val="24"/>
          <w:szCs w:val="24"/>
          <w:highlight w:val="none"/>
          <w:lang w:eastAsia="zh-CN"/>
        </w:rPr>
        <w:t xml:space="preserve">接受</w:t>
      </w:r>
      <w:r>
        <w:rPr>
          <w:rFonts w:hint="eastAsia" w:ascii="宋体" w:hAnsi="宋体" w:eastAsia="宋体" w:cs="Times New Roman"/>
          <w:color w:val="auto"/>
          <w:sz w:val="24"/>
          <w:szCs w:val="24"/>
          <w:highlight w:val="none"/>
        </w:rPr>
        <w:t xml:space="preserve">取消投标资格及其他任何形式的处理。</w:t>
      </w:r>
      <w:r/>
    </w:p>
    <w:p>
      <w:pPr>
        <w:ind w:firstLine="48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before="24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480" w:firstLine="480"/>
        <w:jc w:val="right"/>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jc w:val="center"/>
        <w:keepLines/>
        <w:keepNext/>
        <w:spacing w:before="260" w:after="260" w:line="415" w:lineRule="auto"/>
        <w:widowControl w:val="off"/>
        <w:rPr>
          <w:rFonts w:ascii="宋体" w:hAnsi="宋体" w:eastAsia="宋体" w:cs="Times New Roman"/>
          <w:b w:val="0"/>
          <w:bCs/>
          <w:color w:val="auto"/>
          <w:sz w:val="28"/>
          <w:szCs w:val="28"/>
          <w:highlight w:val="none"/>
          <w:lang w:val="en-US" w:eastAsia="zh-CN" w:bidi="ar-SA"/>
        </w:rPr>
        <w:outlineLvl w:val="9"/>
      </w:pPr>
      <w:r>
        <w:rPr>
          <w:rFonts w:hint="eastAsia" w:ascii="宋体" w:hAnsi="宋体" w:eastAsia="宋体" w:cs="Times New Roman"/>
          <w:b w:val="0"/>
          <w:bCs/>
          <w:color w:val="auto"/>
          <w:sz w:val="24"/>
          <w:szCs w:val="32"/>
          <w:highlight w:val="none"/>
          <w:lang w:val="en-US" w:eastAsia="zh-CN" w:bidi="ar-SA"/>
        </w:rPr>
        <w:t xml:space="preserve">                年    月    日</w:t>
      </w:r>
      <w:r/>
    </w:p>
    <w:p>
      <w:pPr>
        <w:spacing w:line="52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br w:type="page" w:clear="all"/>
      </w:r>
      <w:r/>
    </w:p>
    <w:p>
      <w:pPr>
        <w:jc w:val="center"/>
        <w:spacing w:before="4" w:line="360" w:lineRule="auto"/>
        <w:widowControl/>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承诺书六（格式）</w:t>
      </w:r>
      <w:r/>
    </w:p>
    <w:p>
      <w:pPr>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致：</w:t>
      </w:r>
      <w:r>
        <w:rPr>
          <w:rFonts w:hint="eastAsia" w:ascii="宋体" w:hAnsi="宋体" w:eastAsia="宋体" w:cs="Times New Roman"/>
          <w:bCs/>
          <w:color w:val="auto"/>
          <w:sz w:val="24"/>
          <w:szCs w:val="24"/>
          <w:highlight w:val="none"/>
          <w:u w:val="single"/>
        </w:rPr>
        <w:t xml:space="preserve">    （采购人名称）           </w:t>
      </w:r>
      <w:r/>
    </w:p>
    <w:p>
      <w:pPr>
        <w:ind w:firstLine="480"/>
        <w:spacing w:line="360" w:lineRule="auto"/>
        <w:rPr>
          <w:rFonts w:hint="default" w:ascii="宋体" w:hAnsi="宋体" w:eastAsia="宋体" w:cs="黑体"/>
          <w:color w:val="auto"/>
          <w:sz w:val="24"/>
          <w:szCs w:val="24"/>
          <w:highlight w:val="none"/>
        </w:rPr>
      </w:pPr>
      <w:r>
        <w:rPr>
          <w:rFonts w:hint="default" w:ascii="宋体" w:hAnsi="宋体" w:eastAsia="宋体" w:cs="黑体"/>
          <w:color w:val="auto"/>
          <w:sz w:val="24"/>
          <w:szCs w:val="24"/>
          <w:highlight w:val="none"/>
        </w:rPr>
      </w:r>
      <w:r/>
    </w:p>
    <w:p>
      <w:pPr>
        <w:ind w:firstLine="480"/>
        <w:spacing w:line="360" w:lineRule="auto"/>
        <w:rPr>
          <w:rFonts w:hint="eastAsia"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我公司承诺：若中标，在发出中标通知书（中标公告发布）之日起七日内提交本单位为《养护作业人员投入计划一览表》中的一般作业人员缴纳商业保险人员名单及</w:t>
      </w:r>
      <w:r>
        <w:rPr>
          <w:rFonts w:hint="eastAsia" w:ascii="宋体" w:hAnsi="宋体" w:eastAsia="宋体" w:cs="Times New Roman"/>
          <w:color w:val="auto"/>
          <w:sz w:val="24"/>
          <w:szCs w:val="24"/>
          <w:highlight w:val="none"/>
        </w:rPr>
        <w:t xml:space="preserve">我公司为其购买的有效商业险保单原件</w:t>
      </w:r>
      <w:r>
        <w:rPr>
          <w:rFonts w:hint="eastAsia" w:ascii="宋体" w:hAnsi="宋体" w:eastAsia="宋体" w:cs="黑体"/>
          <w:color w:val="auto"/>
          <w:sz w:val="24"/>
          <w:szCs w:val="24"/>
          <w:highlight w:val="none"/>
        </w:rPr>
        <w:t xml:space="preserve">。七日内未提供的，视为我公司放弃中标资格。</w:t>
      </w:r>
      <w:r/>
    </w:p>
    <w:p>
      <w:pPr>
        <w:ind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480" w:firstLine="480"/>
        <w:jc w:val="right"/>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jc w:val="center"/>
        <w:keepLines/>
        <w:keepNext/>
        <w:spacing w:before="260" w:after="260" w:line="415" w:lineRule="auto"/>
        <w:widowControl w:val="off"/>
        <w:rPr>
          <w:rFonts w:ascii="宋体" w:hAnsi="宋体" w:eastAsia="宋体" w:cs="Times New Roman"/>
          <w:b w:val="0"/>
          <w:bCs/>
          <w:color w:val="auto"/>
          <w:sz w:val="24"/>
          <w:szCs w:val="24"/>
          <w:highlight w:val="none"/>
          <w:lang w:val="en-US" w:eastAsia="zh-CN" w:bidi="ar-SA"/>
        </w:rPr>
        <w:outlineLvl w:val="9"/>
      </w:pPr>
      <w:r>
        <w:rPr>
          <w:rFonts w:hint="eastAsia" w:ascii="宋体" w:hAnsi="宋体" w:eastAsia="宋体" w:cs="Times New Roman"/>
          <w:b w:val="0"/>
          <w:bCs/>
          <w:color w:val="auto"/>
          <w:sz w:val="24"/>
          <w:szCs w:val="24"/>
          <w:highlight w:val="none"/>
          <w:lang w:val="en-US" w:eastAsia="zh-CN" w:bidi="ar-SA"/>
        </w:rPr>
        <w:t xml:space="preserve">                 年    月    日</w:t>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br w:type="page" w:clear="all"/>
      </w:r>
      <w:r/>
    </w:p>
    <w:p>
      <w:pPr>
        <w:jc w:val="center"/>
        <w:spacing w:before="4" w:line="360" w:lineRule="auto"/>
        <w:widowControl/>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承诺书七（格式）</w:t>
      </w:r>
      <w:r/>
    </w:p>
    <w:p>
      <w:pPr>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致：</w:t>
      </w:r>
      <w:r>
        <w:rPr>
          <w:rFonts w:hint="eastAsia" w:ascii="宋体" w:hAnsi="宋体" w:eastAsia="宋体" w:cs="Times New Roman"/>
          <w:bCs/>
          <w:color w:val="auto"/>
          <w:sz w:val="24"/>
          <w:szCs w:val="24"/>
          <w:highlight w:val="none"/>
          <w:u w:val="single"/>
        </w:rPr>
        <w:t xml:space="preserve">    （采购人名称）           </w:t>
      </w:r>
      <w:r/>
    </w:p>
    <w:p>
      <w:pPr>
        <w:ind w:firstLine="480"/>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我公司承诺：</w:t>
      </w:r>
      <w:r/>
    </w:p>
    <w:p>
      <w:pPr>
        <w:ind w:firstLine="480"/>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拟配备于本项目的项目经理</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（姓名）</w:t>
      </w:r>
      <w:r>
        <w:rPr>
          <w:rFonts w:hint="default"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为 </w:t>
      </w:r>
      <w:r>
        <w:rPr>
          <w:rFonts w:hint="default"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（技术职称等级）</w:t>
      </w:r>
      <w:r>
        <w:rPr>
          <w:rFonts w:hint="default"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，在其他行政区域内无养护业务，在本行政区域内有养护业务但累计养护面积不超过最大承养面积（高级工程师100万平方米，工程师50万平方米）；</w:t>
      </w:r>
      <w:r/>
    </w:p>
    <w:p>
      <w:pPr>
        <w:ind w:firstLine="60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拟配备于本项目的作业人员：</w:t>
      </w:r>
      <w:r/>
    </w:p>
    <w:p>
      <w:pPr>
        <w:numPr>
          <w:ilvl w:val="0"/>
          <w:numId w:val="15"/>
        </w:numPr>
        <w:ind w:left="0" w:firstLine="567"/>
        <w:spacing w:line="360" w:lineRule="auto"/>
        <w:rPr>
          <w:rFonts w:hint="default" w:ascii="宋体" w:hAnsi="宋体" w:eastAsia="宋体" w:cs="黑体"/>
          <w:bCs/>
          <w:color w:val="auto"/>
          <w:sz w:val="24"/>
          <w:szCs w:val="24"/>
          <w:highlight w:val="none"/>
          <w:lang w:val="zh-CN"/>
        </w:rPr>
      </w:pPr>
      <w:r>
        <w:rPr>
          <w:rFonts w:hint="eastAsia" w:ascii="宋体" w:hAnsi="宋体" w:eastAsia="宋体" w:cs="Times New Roman"/>
          <w:bCs/>
          <w:color w:val="auto"/>
          <w:sz w:val="24"/>
          <w:szCs w:val="24"/>
          <w:highlight w:val="none"/>
        </w:rPr>
        <w:t xml:space="preserve">作业人员为</w:t>
      </w:r>
      <w:r>
        <w:rPr>
          <w:rFonts w:hint="eastAsia" w:ascii="宋体" w:hAnsi="宋体" w:eastAsia="宋体" w:cs="黑体"/>
          <w:bCs/>
          <w:color w:val="auto"/>
          <w:sz w:val="24"/>
          <w:szCs w:val="24"/>
          <w:highlight w:val="none"/>
          <w:lang w:val="zh-CN"/>
        </w:rPr>
        <w:t xml:space="preserve">技术工人在其他行政区域内</w:t>
      </w:r>
      <w:r>
        <w:rPr>
          <w:rFonts w:hint="eastAsia" w:ascii="宋体" w:hAnsi="宋体" w:eastAsia="宋体" w:cs="Times New Roman"/>
          <w:bCs/>
          <w:color w:val="auto"/>
          <w:sz w:val="24"/>
          <w:szCs w:val="24"/>
          <w:highlight w:val="none"/>
        </w:rPr>
        <w:t xml:space="preserve">无</w:t>
      </w:r>
      <w:r>
        <w:rPr>
          <w:rFonts w:hint="eastAsia" w:ascii="宋体" w:hAnsi="宋体" w:eastAsia="宋体" w:cs="黑体"/>
          <w:bCs/>
          <w:color w:val="auto"/>
          <w:sz w:val="24"/>
          <w:szCs w:val="24"/>
          <w:highlight w:val="none"/>
          <w:lang w:val="zh-CN"/>
        </w:rPr>
        <w:t xml:space="preserve">养护业务</w:t>
      </w:r>
      <w:r>
        <w:rPr>
          <w:rFonts w:hint="eastAsia" w:ascii="宋体" w:hAnsi="宋体" w:eastAsia="宋体" w:cs="Times New Roman"/>
          <w:bCs/>
          <w:color w:val="auto"/>
          <w:sz w:val="24"/>
          <w:szCs w:val="24"/>
          <w:highlight w:val="none"/>
        </w:rPr>
        <w:t xml:space="preserve">，在</w:t>
      </w:r>
      <w:r>
        <w:rPr>
          <w:rFonts w:hint="eastAsia" w:ascii="宋体" w:hAnsi="宋体" w:eastAsia="宋体" w:cs="黑体"/>
          <w:bCs/>
          <w:color w:val="auto"/>
          <w:sz w:val="24"/>
          <w:szCs w:val="24"/>
          <w:highlight w:val="none"/>
          <w:lang w:val="zh-CN"/>
        </w:rPr>
        <w:t xml:space="preserve">本行政区域内有养护业务的但养护面积不超过最大承养面积（高级工30万平方米，中级工15万平方米）；</w:t>
      </w:r>
      <w:r>
        <w:rPr>
          <w:rFonts w:hint="default" w:ascii="宋体" w:hAnsi="宋体" w:eastAsia="宋体" w:cs="黑体"/>
          <w:bCs/>
          <w:color w:val="auto"/>
          <w:sz w:val="24"/>
          <w:szCs w:val="24"/>
          <w:highlight w:val="none"/>
          <w:lang w:val="zh-CN"/>
        </w:rPr>
        <w:t xml:space="preserve"> </w:t>
      </w:r>
      <w:r/>
    </w:p>
    <w:p>
      <w:pPr>
        <w:numPr>
          <w:ilvl w:val="0"/>
          <w:numId w:val="15"/>
        </w:numPr>
        <w:ind w:left="960" w:hanging="360"/>
        <w:spacing w:line="360" w:lineRule="auto"/>
        <w:rPr>
          <w:rFonts w:hint="default" w:ascii="宋体" w:hAnsi="宋体" w:eastAsia="宋体" w:cs="黑体"/>
          <w:bCs/>
          <w:color w:val="auto"/>
          <w:sz w:val="24"/>
          <w:szCs w:val="24"/>
          <w:highlight w:val="none"/>
          <w:lang w:val="zh-CN"/>
        </w:rPr>
      </w:pPr>
      <w:r>
        <w:rPr>
          <w:rFonts w:hint="eastAsia" w:ascii="宋体" w:hAnsi="宋体" w:eastAsia="宋体" w:cs="黑体"/>
          <w:bCs/>
          <w:color w:val="auto"/>
          <w:sz w:val="24"/>
          <w:szCs w:val="24"/>
          <w:highlight w:val="none"/>
          <w:lang w:val="zh-CN"/>
        </w:rPr>
        <w:t xml:space="preserve">除技术工人以外的一般作业人员在其他行政区域内无养护业务。</w:t>
      </w:r>
      <w:r/>
    </w:p>
    <w:p>
      <w:pPr>
        <w:ind w:firstLine="480"/>
        <w:spacing w:before="240" w:line="360" w:lineRule="auto"/>
        <w:rPr>
          <w:rFonts w:hint="eastAsia" w:ascii="宋体" w:hAnsi="宋体" w:eastAsia="宋体" w:cs="黑体"/>
          <w:bCs/>
          <w:color w:val="auto"/>
          <w:sz w:val="24"/>
          <w:szCs w:val="24"/>
          <w:highlight w:val="none"/>
          <w:lang w:val="zh-CN"/>
        </w:rPr>
      </w:pPr>
      <w:r>
        <w:rPr>
          <w:rFonts w:hint="eastAsia" w:ascii="宋体" w:hAnsi="宋体" w:eastAsia="宋体" w:cs="Times New Roman"/>
          <w:bCs/>
          <w:color w:val="auto"/>
          <w:sz w:val="24"/>
          <w:szCs w:val="24"/>
          <w:highlight w:val="none"/>
        </w:rPr>
        <w:t xml:space="preserve">以上承诺如有不实，采购人可取消我方投标资格。如我公司中标，采购人在签订合同之前核查出以上承诺不实的，</w:t>
      </w:r>
      <w:r>
        <w:rPr>
          <w:rFonts w:hint="eastAsia" w:ascii="宋体" w:hAnsi="宋体" w:eastAsia="宋体" w:cs="黑体"/>
          <w:color w:val="auto"/>
          <w:sz w:val="24"/>
          <w:szCs w:val="24"/>
          <w:highlight w:val="none"/>
        </w:rPr>
        <w:t xml:space="preserve">视为我公司放弃中标资格。</w:t>
      </w:r>
      <w:r>
        <w:rPr>
          <w:rFonts w:hint="eastAsia" w:ascii="宋体" w:hAnsi="宋体" w:eastAsia="宋体" w:cs="Times New Roman"/>
          <w:bCs/>
          <w:color w:val="auto"/>
          <w:sz w:val="24"/>
          <w:szCs w:val="24"/>
          <w:highlight w:val="none"/>
        </w:rPr>
        <w:t xml:space="preserve">我公</w:t>
      </w:r>
      <w:r>
        <w:rPr>
          <w:rFonts w:hint="eastAsia" w:ascii="宋体" w:hAnsi="宋体" w:cs="Times New Roman"/>
          <w:bCs/>
          <w:color w:val="auto"/>
          <w:sz w:val="24"/>
          <w:szCs w:val="24"/>
          <w:highlight w:val="none"/>
          <w:lang w:eastAsia="zh-CN"/>
        </w:rPr>
        <w:t xml:space="preserve">司将</w:t>
      </w:r>
      <w:r>
        <w:rPr>
          <w:rFonts w:hint="eastAsia" w:ascii="宋体" w:hAnsi="宋体" w:eastAsia="宋体" w:cs="Times New Roman"/>
          <w:bCs/>
          <w:color w:val="auto"/>
          <w:sz w:val="24"/>
          <w:szCs w:val="24"/>
          <w:highlight w:val="none"/>
        </w:rPr>
        <w:t xml:space="preserve">承担一切由此造成的法律后果。</w:t>
      </w:r>
      <w:r/>
    </w:p>
    <w:p>
      <w:pPr>
        <w:ind w:firstLine="480"/>
        <w:jc w:val="right"/>
        <w:spacing w:before="240"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（公章）</w:t>
      </w:r>
      <w:r/>
    </w:p>
    <w:p>
      <w:pPr>
        <w:ind w:right="480" w:firstLine="480"/>
        <w:jc w:val="right"/>
        <w:spacing w:before="240"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            </w:t>
      </w:r>
      <w:r/>
    </w:p>
    <w:p>
      <w:pPr>
        <w:jc w:val="center"/>
        <w:keepLines/>
        <w:keepNext/>
        <w:spacing w:before="260" w:after="260" w:line="415" w:lineRule="auto"/>
        <w:widowControl w:val="off"/>
        <w:rPr>
          <w:rFonts w:ascii="宋体" w:hAnsi="宋体" w:eastAsia="宋体" w:cs="Times New Roman"/>
          <w:b w:val="0"/>
          <w:bCs/>
          <w:color w:val="auto"/>
          <w:sz w:val="28"/>
          <w:szCs w:val="28"/>
          <w:highlight w:val="none"/>
          <w:lang w:val="en-US" w:eastAsia="zh-CN" w:bidi="ar-SA"/>
        </w:rPr>
        <w:outlineLvl w:val="9"/>
      </w:pPr>
      <w:r>
        <w:rPr>
          <w:rFonts w:hint="eastAsia" w:ascii="宋体" w:hAnsi="宋体" w:eastAsia="宋体" w:cs="Times New Roman"/>
          <w:b w:val="0"/>
          <w:bCs/>
          <w:color w:val="auto"/>
          <w:sz w:val="24"/>
          <w:szCs w:val="32"/>
          <w:highlight w:val="none"/>
          <w:lang w:val="en-US" w:eastAsia="zh-CN" w:bidi="ar-SA"/>
        </w:rPr>
        <w:t xml:space="preserve">                       年    月    日</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pStyle w:val="734"/>
        <w:ind w:left="0" w:right="0" w:firstLine="42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eastAsia="黑体"/>
          <w:bCs/>
          <w:color w:val="auto"/>
          <w:sz w:val="24"/>
          <w:szCs w:val="24"/>
          <w:highlight w:val="none"/>
        </w:rPr>
        <w:br w:type="page" w:clear="all"/>
      </w:r>
      <w:r>
        <w:rPr>
          <w:rFonts w:hint="eastAsia" w:ascii="宋体" w:hAnsi="宋体" w:eastAsia="宋体" w:cs="宋体"/>
          <w:b/>
          <w:bCs/>
          <w:color w:val="auto"/>
          <w:sz w:val="24"/>
          <w:szCs w:val="24"/>
          <w:highlight w:val="none"/>
        </w:rPr>
        <w:t xml:space="preserve">承诺书</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（格式）</w:t>
      </w:r>
      <w:r/>
    </w:p>
    <w:p>
      <w:pPr>
        <w:pStyle w:val="734"/>
        <w:ind w:left="0" w:firstLine="420"/>
        <w:keepLines w:val="0"/>
        <w:keepNext w:val="0"/>
        <w:spacing w:before="0" w:beforeAutospacing="0" w:after="0" w:afterAutospacing="0" w:line="360" w:lineRule="auto"/>
        <w:shd w:val="clear" w:color="auto" w:fill="ffffff"/>
        <w:widowControl w:val="off"/>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致：</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 xml:space="preserve"> （采购人）</w:t>
      </w:r>
      <w:r>
        <w:rPr>
          <w:rFonts w:hint="eastAsia" w:ascii="宋体" w:hAnsi="宋体" w:eastAsia="宋体" w:cs="宋体"/>
          <w:color w:val="auto"/>
          <w:sz w:val="24"/>
          <w:szCs w:val="24"/>
          <w:highlight w:val="none"/>
          <w:u w:val="single"/>
          <w:shd w:val="clear" w:color="auto" w:fill="ffffff"/>
          <w:lang w:val="en-US" w:eastAsia="zh-CN"/>
        </w:rPr>
        <w:t xml:space="preserve">       </w:t>
      </w:r>
      <w:r/>
    </w:p>
    <w:p>
      <w:pPr>
        <w:pStyle w:val="734"/>
        <w:ind w:left="0" w:firstLine="480"/>
        <w:keepLines w:val="0"/>
        <w:keepNext w:val="0"/>
        <w:spacing w:before="0" w:beforeAutospacing="0" w:after="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我公司参加你方的项目（以下简称“本项目”）投标的申请，现我公司向你方郑重承诺，若中标，在发出中标通知书（中标公告发布）之日起</w:t>
      </w:r>
      <w:r>
        <w:rPr>
          <w:rFonts w:hint="eastAsia" w:ascii="宋体" w:hAnsi="宋体" w:eastAsia="宋体" w:cs="宋体"/>
          <w:color w:val="auto"/>
          <w:sz w:val="24"/>
          <w:szCs w:val="24"/>
          <w:highlight w:val="none"/>
          <w:shd w:val="clear" w:color="auto" w:fill="ffffff"/>
          <w:lang w:val="en-US" w:eastAsia="zh-CN"/>
        </w:rPr>
        <w:t xml:space="preserve">五</w:t>
      </w:r>
      <w:r>
        <w:rPr>
          <w:rFonts w:hint="eastAsia" w:ascii="宋体" w:hAnsi="宋体" w:eastAsia="宋体" w:cs="宋体"/>
          <w:color w:val="auto"/>
          <w:sz w:val="24"/>
          <w:szCs w:val="24"/>
          <w:highlight w:val="none"/>
          <w:shd w:val="clear" w:color="auto" w:fill="ffffff"/>
        </w:rPr>
        <w:t xml:space="preserve">日内提供：</w:t>
      </w:r>
      <w:r/>
    </w:p>
    <w:p>
      <w:pPr>
        <w:pStyle w:val="734"/>
        <w:ind w:left="0" w:firstLine="482"/>
        <w:keepLines w:val="0"/>
        <w:keepNext w:val="0"/>
        <w:spacing w:before="0" w:beforeAutospacing="0" w:after="0" w:afterAutospacing="0" w:line="360" w:lineRule="auto"/>
        <w:shd w:val="clear" w:color="auto" w:fill="ffffff"/>
        <w:widowControl w:val="off"/>
        <w:tabs>
          <w:tab w:val="left" w:pos="312"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加分项养护设备配备：</w:t>
      </w:r>
      <w:r/>
    </w:p>
    <w:p>
      <w:pPr>
        <w:pStyle w:val="734"/>
        <w:numPr>
          <w:ilvl w:val="0"/>
          <w:numId w:val="0"/>
        </w:numPr>
        <w:ind w:left="480"/>
        <w:keepLines w:val="0"/>
        <w:keepNext w:val="0"/>
        <w:spacing w:before="0" w:beforeAutospacing="0" w:after="0" w:afterAutospacing="0" w:line="360" w:lineRule="auto"/>
        <w:shd w:val="clear" w:color="auto" w:fill="ffffff"/>
        <w:widowControl w:val="off"/>
        <w:tabs>
          <w:tab w:val="left" w:pos="312" w:leader="none"/>
        </w:tabs>
        <w:rPr>
          <w:color w:val="auto"/>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u w:val="none"/>
          <w:shd w:val="clear" w:color="auto" w:fill="ffffff"/>
          <w:lang w:val="en-US" w:eastAsia="zh-CN"/>
        </w:rPr>
        <w:t xml:space="preserve">1、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 xml:space="preserve"> </w:t>
      </w:r>
      <w:r/>
    </w:p>
    <w:p>
      <w:pPr>
        <w:pStyle w:val="734"/>
        <w:numPr>
          <w:ilvl w:val="0"/>
          <w:numId w:val="0"/>
        </w:numPr>
        <w:ind w:left="480"/>
        <w:keepLines w:val="0"/>
        <w:keepNext w:val="0"/>
        <w:spacing w:before="0" w:beforeAutospacing="0" w:after="0" w:afterAutospacing="0" w:line="360" w:lineRule="auto"/>
        <w:shd w:val="clear" w:color="auto" w:fill="ffffff"/>
        <w:widowControl w:val="off"/>
        <w:tabs>
          <w:tab w:val="left" w:pos="312" w:leader="none"/>
        </w:tabs>
        <w:rPr>
          <w:rFonts w:hint="eastAsia" w:ascii="宋体" w:hAnsi="宋体" w:eastAsia="宋体" w:cs="宋体"/>
          <w:color w:val="auto"/>
          <w:sz w:val="24"/>
          <w:szCs w:val="24"/>
          <w:highlight w:val="none"/>
          <w:u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u w:val="none"/>
          <w:shd w:val="clear" w:color="auto" w:fill="ffffff"/>
          <w:lang w:val="en-US" w:eastAsia="zh-CN"/>
        </w:rPr>
        <w:t xml:space="preserve">2、</w:t>
      </w:r>
      <w:r>
        <w:rPr>
          <w:rFonts w:hint="eastAsia" w:ascii="宋体" w:hAnsi="宋体" w:eastAsia="宋体" w:cs="宋体"/>
          <w:color w:val="auto"/>
          <w:sz w:val="24"/>
          <w:szCs w:val="24"/>
          <w:highlight w:val="none"/>
          <w:u w:val="single"/>
          <w:shd w:val="clear" w:color="auto" w:fill="ffffff"/>
          <w:lang w:val="en-US" w:eastAsia="zh-CN"/>
        </w:rPr>
        <w:t xml:space="preserve">             </w:t>
      </w:r>
      <w:r/>
    </w:p>
    <w:p>
      <w:pPr>
        <w:pStyle w:val="734"/>
        <w:numPr>
          <w:ilvl w:val="0"/>
          <w:numId w:val="0"/>
        </w:numPr>
        <w:ind w:left="480"/>
        <w:keepLines w:val="0"/>
        <w:keepNext w:val="0"/>
        <w:spacing w:before="0" w:beforeAutospacing="0" w:after="0" w:afterAutospacing="0" w:line="360" w:lineRule="auto"/>
        <w:shd w:val="clear" w:color="auto" w:fill="ffffff"/>
        <w:widowControl w:val="off"/>
        <w:tabs>
          <w:tab w:val="left" w:pos="312" w:leader="none"/>
        </w:tabs>
        <w:rPr>
          <w:color w:val="auto"/>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u w:val="none"/>
          <w:shd w:val="clear" w:color="auto" w:fill="ffffff"/>
        </w:rPr>
        <w:t xml:space="preserve">3、</w:t>
      </w:r>
      <w:r>
        <w:rPr>
          <w:rFonts w:hint="eastAsia" w:ascii="宋体" w:hAnsi="宋体" w:eastAsia="宋体" w:cs="宋体"/>
          <w:color w:val="auto"/>
          <w:sz w:val="24"/>
          <w:szCs w:val="24"/>
          <w:highlight w:val="none"/>
          <w:u w:val="single"/>
          <w:shd w:val="clear" w:color="auto" w:fill="ffffff"/>
          <w:lang w:val="en-US" w:eastAsia="zh-CN"/>
        </w:rPr>
        <w:t xml:space="preserve">             </w:t>
      </w:r>
      <w:r/>
    </w:p>
    <w:p>
      <w:pPr>
        <w:pStyle w:val="734"/>
        <w:numPr>
          <w:ilvl w:val="0"/>
          <w:numId w:val="0"/>
        </w:numPr>
        <w:ind w:left="480"/>
        <w:keepLines w:val="0"/>
        <w:keepNext w:val="0"/>
        <w:spacing w:before="0" w:beforeAutospacing="0" w:after="0" w:afterAutospacing="0" w:line="360" w:lineRule="auto"/>
        <w:shd w:val="clear" w:color="auto" w:fill="ffffff"/>
        <w:widowControl w:val="off"/>
        <w:tabs>
          <w:tab w:val="left" w:pos="312" w:leader="none"/>
        </w:tabs>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w:t>
      </w:r>
      <w:r/>
    </w:p>
    <w:p>
      <w:pPr>
        <w:pStyle w:val="734"/>
        <w:ind w:left="0" w:firstLine="480"/>
        <w:keepLines w:val="0"/>
        <w:keepNext w:val="0"/>
        <w:spacing w:before="0" w:beforeAutospacing="0" w:after="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我公司自愿</w:t>
      </w:r>
      <w:r>
        <w:rPr>
          <w:rFonts w:hint="eastAsia" w:ascii="宋体" w:hAnsi="宋体" w:eastAsia="宋体" w:cs="宋体"/>
          <w:color w:val="auto"/>
          <w:sz w:val="24"/>
          <w:szCs w:val="24"/>
          <w:highlight w:val="none"/>
          <w:shd w:val="clear" w:color="auto" w:fill="ffffff"/>
        </w:rPr>
        <w:t xml:space="preserve">接受采购人的现场考察，</w:t>
      </w:r>
      <w:r>
        <w:rPr>
          <w:rFonts w:hint="eastAsia" w:ascii="宋体" w:hAnsi="宋体" w:eastAsia="宋体" w:cs="宋体"/>
          <w:color w:val="auto"/>
          <w:sz w:val="24"/>
          <w:szCs w:val="24"/>
          <w:highlight w:val="none"/>
          <w:shd w:val="clear" w:color="auto" w:fill="ffffff"/>
          <w:lang w:val="en-US" w:eastAsia="zh-CN"/>
        </w:rPr>
        <w:t xml:space="preserve">五</w:t>
      </w:r>
      <w:r>
        <w:rPr>
          <w:rFonts w:hint="eastAsia" w:ascii="宋体" w:hAnsi="宋体" w:eastAsia="宋体" w:cs="宋体"/>
          <w:color w:val="auto"/>
          <w:sz w:val="24"/>
          <w:szCs w:val="24"/>
          <w:highlight w:val="none"/>
          <w:shd w:val="clear" w:color="auto" w:fill="ffffff"/>
        </w:rPr>
        <w:t xml:space="preserve">日内未提供或现场考察不符合要求的，视为我公司自动放弃中标资格。</w:t>
      </w:r>
      <w:r/>
    </w:p>
    <w:p>
      <w:pPr>
        <w:pStyle w:val="734"/>
        <w:ind w:left="0" w:firstLine="480"/>
        <w:jc w:val="center"/>
        <w:keepLines w:val="0"/>
        <w:keepNext w:val="0"/>
        <w:pageBreakBefore w:val="0"/>
        <w:spacing w:before="0" w:beforeAutospacing="0" w:after="0" w:afterAutospacing="0" w:line="44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投标供应商：（公章）</w:t>
      </w:r>
      <w:r/>
    </w:p>
    <w:p>
      <w:pPr>
        <w:pStyle w:val="734"/>
        <w:ind w:left="0" w:firstLine="420"/>
        <w:jc w:val="center"/>
        <w:keepLines w:val="0"/>
        <w:keepNext w:val="0"/>
        <w:pageBreakBefore w:val="0"/>
        <w:spacing w:before="0" w:beforeAutospacing="0" w:after="0" w:afterAutospacing="0" w:line="44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法定代表人签名或盖章：</w:t>
      </w:r>
      <w:r/>
    </w:p>
    <w:p>
      <w:pPr>
        <w:pStyle w:val="734"/>
        <w:ind w:left="0" w:firstLine="420"/>
        <w:jc w:val="center"/>
        <w:keepLines w:val="0"/>
        <w:keepNext w:val="0"/>
        <w:pageBreakBefore w:val="0"/>
        <w:spacing w:before="0" w:beforeAutospacing="0" w:after="0" w:afterAutospacing="0" w:line="44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keepLines w:val="0"/>
        <w:keepNext w:val="0"/>
        <w:pageBreakBefore w:val="0"/>
        <w:spacing w:line="440" w:lineRule="exact"/>
        <w:widowControl w:val="off"/>
        <w:rPr>
          <w:rFonts w:eastAsia="黑体"/>
          <w:bCs/>
          <w:color w:val="auto"/>
          <w:sz w:val="24"/>
          <w:szCs w:val="24"/>
          <w:highlight w:val="none"/>
        </w:rPr>
      </w:pPr>
      <w:r>
        <w:rPr>
          <w:rFonts w:eastAsia="黑体"/>
          <w:bCs/>
          <w:color w:val="auto"/>
          <w:sz w:val="24"/>
          <w:szCs w:val="24"/>
          <w:highlight w:val="none"/>
        </w:rPr>
        <w:br w:type="page" w:clear="all"/>
      </w:r>
      <w:r/>
    </w:p>
    <w:p>
      <w:pPr>
        <w:jc w:val="left"/>
        <w:rPr>
          <w:rFonts w:eastAsia="黑体"/>
          <w:bCs/>
          <w:color w:val="auto"/>
          <w:sz w:val="24"/>
          <w:szCs w:val="24"/>
          <w:highlight w:val="none"/>
        </w:rPr>
        <w:outlineLvl w:val="9"/>
      </w:pPr>
      <w:r>
        <w:rPr>
          <w:rFonts w:eastAsia="黑体"/>
          <w:bCs/>
          <w:color w:val="auto"/>
          <w:sz w:val="24"/>
          <w:szCs w:val="24"/>
          <w:highlight w:val="none"/>
        </w:rPr>
        <w:t xml:space="preserve">（七）</w:t>
      </w:r>
      <w:r>
        <w:rPr>
          <w:rFonts w:hint="eastAsia" w:eastAsia="黑体"/>
          <w:bCs/>
          <w:color w:val="auto"/>
          <w:sz w:val="24"/>
          <w:szCs w:val="24"/>
          <w:highlight w:val="none"/>
          <w:lang w:eastAsia="zh-CN"/>
        </w:rPr>
        <w:t xml:space="preserve">投标供应商基本情况声明</w:t>
      </w:r>
      <w:r>
        <w:rPr>
          <w:rFonts w:hint="eastAsia" w:eastAsia="黑体"/>
          <w:bCs/>
          <w:color w:val="auto"/>
          <w:sz w:val="24"/>
          <w:szCs w:val="24"/>
          <w:highlight w:val="none"/>
        </w:rPr>
        <w:t xml:space="preserve">（格式）</w:t>
      </w:r>
      <w:r/>
    </w:p>
    <w:p>
      <w:pPr>
        <w:ind w:firstLine="492"/>
        <w:jc w:val="center"/>
        <w:rPr>
          <w:rFonts w:hint="eastAsia" w:ascii="Times New Roman" w:hAnsi="Times New Roman" w:eastAsia="宋体" w:cs="Times New Roman"/>
          <w:color w:val="auto"/>
          <w:szCs w:val="24"/>
          <w:highlight w:val="none"/>
        </w:rPr>
        <w:outlineLvl w:val="9"/>
      </w:pPr>
      <w:r>
        <w:rPr>
          <w:rFonts w:hint="eastAsia" w:ascii="宋体" w:hAnsi="宋体" w:eastAsia="宋体" w:cs="Times New Roman"/>
          <w:b/>
          <w:bCs/>
          <w:color w:val="auto"/>
          <w:sz w:val="28"/>
          <w:szCs w:val="28"/>
          <w:highlight w:val="none"/>
        </w:rPr>
        <w:t xml:space="preserve">投标供应商基本情况声明</w:t>
      </w:r>
      <w:r/>
    </w:p>
    <w:p>
      <w:pPr>
        <w:jc w:val="center"/>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（内容写不完的栏目可相应扩展）</w:t>
      </w:r>
      <w:r/>
    </w:p>
    <w:p>
      <w:pPr>
        <w:ind w:firstLine="480"/>
        <w:jc w:val="lef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bl>
      <w:tblPr>
        <w:tblStyle w:val="71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84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其中：</w:t>
            </w:r>
            <w:r/>
          </w:p>
          <w:p>
            <w:pPr>
              <w:ind w:left="959" w:hanging="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中级职称</w:t>
            </w:r>
            <w:r>
              <w:rPr>
                <w:rFonts w:hint="eastAsia" w:ascii="宋体" w:hAnsi="宋体" w:eastAsia="宋体" w:cs="Times New Roman"/>
                <w:color w:val="auto"/>
                <w:sz w:val="24"/>
                <w:szCs w:val="20"/>
                <w:highlight w:val="none"/>
                <w:u w:val="singl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人数、</w:t>
            </w:r>
            <w:r/>
          </w:p>
          <w:p>
            <w:pPr>
              <w:ind w:left="959" w:hanging="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高级职称</w:t>
            </w:r>
            <w:r>
              <w:rPr>
                <w:rFonts w:hint="eastAsia" w:ascii="宋体" w:hAnsi="宋体" w:eastAsia="宋体" w:cs="Times New Roman"/>
                <w:color w:val="auto"/>
                <w:sz w:val="24"/>
                <w:szCs w:val="20"/>
                <w:highlight w:val="none"/>
                <w:u w:val="singl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w:t>
            </w:r>
            <w:r>
              <w:rPr>
                <w:rFonts w:ascii="宋体" w:hAnsi="宋体" w:eastAsia="宋体" w:cs="Times New Roman"/>
                <w:color w:val="auto"/>
                <w:sz w:val="24"/>
                <w:szCs w:val="20"/>
                <w:highlight w:val="none"/>
                <w:lang w:val="en-US" w:eastAsia="zh-CN" w:bidi="ar-SA"/>
              </w:rPr>
              <w:t xml:space="preserve">02</w:t>
            </w:r>
            <w:r>
              <w:rPr>
                <w:rFonts w:hint="eastAsia" w:ascii="宋体" w:hAnsi="宋体" w:cs="Times New Roman"/>
                <w:color w:val="auto"/>
                <w:sz w:val="24"/>
                <w:szCs w:val="20"/>
                <w:highlight w:val="none"/>
                <w:lang w:val="en-US" w:eastAsia="zh-CN" w:bidi="ar-SA"/>
              </w:rPr>
              <w:t xml:space="preserve">5</w:t>
            </w:r>
            <w:r>
              <w:rPr>
                <w:rFonts w:hint="eastAsia" w:ascii="宋体" w:hAnsi="宋体" w:eastAsia="宋体" w:cs="Times New Roman"/>
                <w:color w:val="auto"/>
                <w:sz w:val="24"/>
                <w:szCs w:val="20"/>
                <w:highlight w:val="none"/>
                <w:lang w:val="en-US" w:eastAsia="zh-CN" w:bidi="ar-SA"/>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w:t>
            </w:r>
            <w:r>
              <w:rPr>
                <w:rFonts w:ascii="宋体" w:hAnsi="宋体" w:eastAsia="宋体" w:cs="Times New Roman"/>
                <w:color w:val="auto"/>
                <w:sz w:val="24"/>
                <w:szCs w:val="20"/>
                <w:highlight w:val="none"/>
                <w:lang w:val="en-US" w:eastAsia="zh-CN" w:bidi="ar-SA"/>
              </w:rPr>
              <w:t xml:space="preserve">02</w:t>
            </w:r>
            <w:r>
              <w:rPr>
                <w:rFonts w:hint="eastAsia" w:ascii="宋体" w:hAnsi="宋体" w:cs="Times New Roman"/>
                <w:color w:val="auto"/>
                <w:sz w:val="24"/>
                <w:szCs w:val="20"/>
                <w:highlight w:val="none"/>
                <w:lang w:val="en-US" w:eastAsia="zh-CN" w:bidi="ar-SA"/>
              </w:rPr>
              <w:t xml:space="preserve">5</w:t>
            </w:r>
            <w:r>
              <w:rPr>
                <w:rFonts w:hint="eastAsia" w:ascii="宋体" w:hAnsi="宋体" w:eastAsia="宋体" w:cs="Times New Roman"/>
                <w:color w:val="auto"/>
                <w:sz w:val="24"/>
                <w:szCs w:val="20"/>
                <w:highlight w:val="none"/>
                <w:lang w:val="en-US" w:eastAsia="zh-CN" w:bidi="ar-SA"/>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400" w:lineRule="exact"/>
              <w:widowControl/>
              <w:rPr>
                <w:rFonts w:hint="eastAsia"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t xml:space="preserve">202</w:t>
            </w:r>
            <w:r>
              <w:rPr>
                <w:rFonts w:hint="eastAsia" w:ascii="宋体" w:hAnsi="宋体" w:cs="Times New Roman"/>
                <w:color w:val="auto"/>
                <w:sz w:val="24"/>
                <w:szCs w:val="20"/>
                <w:highlight w:val="none"/>
                <w:lang w:val="en-US" w:eastAsia="zh-CN" w:bidi="ar-SA"/>
              </w:rPr>
              <w:t xml:space="preserve">5</w:t>
            </w:r>
            <w:r>
              <w:rPr>
                <w:rFonts w:hint="eastAsia" w:ascii="宋体" w:hAnsi="宋体" w:eastAsia="宋体" w:cs="Times New Roman"/>
                <w:color w:val="auto"/>
                <w:sz w:val="24"/>
                <w:szCs w:val="20"/>
                <w:highlight w:val="none"/>
                <w:lang w:val="en-US" w:eastAsia="zh-CN" w:bidi="ar-SA"/>
              </w:rPr>
              <w:t xml:space="preserve">年业务收入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t xml:space="preserve">202</w:t>
            </w:r>
            <w:r>
              <w:rPr>
                <w:rFonts w:hint="eastAsia" w:ascii="宋体" w:hAnsi="宋体" w:cs="Times New Roman"/>
                <w:color w:val="auto"/>
                <w:sz w:val="24"/>
                <w:szCs w:val="20"/>
                <w:highlight w:val="none"/>
                <w:lang w:val="en-US" w:eastAsia="zh-CN" w:bidi="ar-SA"/>
              </w:rPr>
              <w:t xml:space="preserve">5</w:t>
            </w:r>
            <w:r>
              <w:rPr>
                <w:rFonts w:hint="eastAsia" w:ascii="宋体" w:hAnsi="宋体" w:eastAsia="宋体" w:cs="Times New Roman"/>
                <w:color w:val="auto"/>
                <w:sz w:val="24"/>
                <w:szCs w:val="20"/>
                <w:highlight w:val="none"/>
                <w:lang w:val="en-US" w:eastAsia="zh-CN" w:bidi="ar-SA"/>
              </w:rPr>
              <w:t xml:space="preserve">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132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办公面积</w:t>
            </w:r>
            <w:r/>
          </w:p>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自有面积    平方米</w:t>
            </w:r>
            <w:r/>
          </w:p>
          <w:p>
            <w:pPr>
              <w:ind w:firstLine="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bCs/>
                <w:color w:val="auto"/>
                <w:sz w:val="24"/>
                <w:szCs w:val="20"/>
                <w:highlight w:val="none"/>
                <w:lang w:val="en-US" w:eastAsia="zh-CN" w:bidi="ar-SA"/>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ind w:firstLine="480"/>
              <w:jc w:val="left"/>
              <w:spacing w:line="400" w:lineRule="exac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tc>
      </w:tr>
    </w:tbl>
    <w:p>
      <w:pPr>
        <w:ind w:firstLine="480"/>
        <w:jc w:val="left"/>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注：本表可以扩展。</w:t>
      </w:r>
      <w:r/>
    </w:p>
    <w:p>
      <w:pPr>
        <w:spacing w:line="48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spacing w:line="48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投标供应商（盖章）：</w:t>
      </w:r>
      <w:r/>
    </w:p>
    <w:p>
      <w:pPr>
        <w:rPr>
          <w:rFonts w:eastAsia="黑体"/>
          <w:bCs/>
          <w:color w:val="auto"/>
          <w:sz w:val="24"/>
          <w:szCs w:val="24"/>
          <w:highlight w:val="none"/>
        </w:rPr>
      </w:pPr>
      <w:r>
        <w:rPr>
          <w:rFonts w:hint="eastAsia" w:ascii="宋体" w:hAnsi="宋体" w:eastAsia="宋体" w:cs="Times New Roman"/>
          <w:color w:val="auto"/>
          <w:sz w:val="24"/>
          <w:szCs w:val="24"/>
          <w:highlight w:val="none"/>
        </w:rPr>
        <w:t xml:space="preserve">法定代表人或授权代表</w:t>
      </w:r>
      <w:r>
        <w:rPr>
          <w:rFonts w:hint="eastAsia" w:ascii="宋体" w:hAnsi="宋体" w:eastAsia="宋体" w:cs="Times New Roman"/>
          <w:bCs/>
          <w:color w:val="auto"/>
          <w:sz w:val="24"/>
          <w:szCs w:val="24"/>
          <w:highlight w:val="none"/>
        </w:rPr>
        <w:t xml:space="preserve">签字或盖章：</w:t>
      </w:r>
      <w:r>
        <w:rPr>
          <w:rFonts w:eastAsia="黑体"/>
          <w:bCs/>
          <w:color w:val="auto"/>
          <w:sz w:val="24"/>
          <w:szCs w:val="24"/>
          <w:highlight w:val="none"/>
        </w:rPr>
        <w:br w:type="page" w:clear="all"/>
      </w:r>
      <w:r/>
    </w:p>
    <w:p>
      <w:pPr>
        <w:jc w:val="left"/>
        <w:rPr>
          <w:rFonts w:hint="eastAsia" w:eastAsia="黑体"/>
          <w:bCs/>
          <w:color w:val="auto"/>
          <w:sz w:val="24"/>
          <w:szCs w:val="24"/>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八</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投标（响应）保证承诺书（格式）</w:t>
      </w:r>
      <w:r/>
    </w:p>
    <w:p>
      <w:pPr>
        <w:ind w:firstLine="480"/>
        <w:jc w:val="center"/>
        <w:spacing w:before="240"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投标（响应）保证承诺书</w:t>
      </w:r>
      <w:r/>
    </w:p>
    <w:p>
      <w:pPr>
        <w:pStyle w:val="715"/>
        <w:spacing w:line="360" w:lineRule="auto"/>
        <w:rPr>
          <w:rFonts w:ascii="宋体" w:hAnsi="宋体" w:cs="宋体"/>
          <w:color w:val="auto"/>
          <w:szCs w:val="24"/>
          <w:highlight w:val="none"/>
        </w:rPr>
      </w:pPr>
      <w:r>
        <w:rPr>
          <w:rFonts w:ascii="宋体" w:hAnsi="宋体" w:cs="宋体"/>
          <w:color w:val="auto"/>
          <w:szCs w:val="24"/>
          <w:highlight w:val="none"/>
        </w:rPr>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致：（采购代理机构名称）：</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项目名称和采购项目编号）的投标（响应）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并做出如下承诺：</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  除不可抗力外，我单位如果发生以下行为，将在行为发生的10个工作日内，向贵方（或采购人）支付本采购文件公布的预算金额（或最高限价）的2%作为违约赔偿金（数量不确定的单价采购须约定具体金额）。</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1.自投标（响应）截止时间至本项目发布中标（成交）公告为止，撤销投标（响应）；</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2.中标（成交）后不依法与采购人签订合同；</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3.中标（成交）后不按本采购文件规定向贵方缴纳采购代理费。</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  我单位知晓上述行为的法律后果，承认本承诺书作为贵方（或采购人）要求我单位履行违约赔偿义务的依据作用。</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投标（响应）供应商：                               （盖公章）</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传真：                     </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电子邮件：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邮编：                     </w:t>
      </w:r>
      <w:r/>
    </w:p>
    <w:p>
      <w:pPr>
        <w:pStyle w:val="71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签字或签章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r/>
    </w:p>
    <w:p>
      <w:pPr>
        <w:rPr>
          <w:rFonts w:eastAsia="黑体"/>
          <w:bCs/>
          <w:color w:val="auto"/>
          <w:sz w:val="24"/>
          <w:szCs w:val="24"/>
          <w:highlight w:val="none"/>
        </w:rPr>
      </w:pPr>
      <w:r>
        <w:rPr>
          <w:rFonts w:eastAsia="黑体"/>
          <w:bCs/>
          <w:color w:val="auto"/>
          <w:sz w:val="24"/>
          <w:szCs w:val="24"/>
          <w:highlight w:val="none"/>
        </w:rPr>
        <w:br w:type="page" w:clear="all"/>
      </w:r>
      <w:r/>
    </w:p>
    <w:p>
      <w:pPr>
        <w:jc w:val="left"/>
        <w:rPr>
          <w:rFonts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JSZC-320211-BJZC-G2026-0007</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711"/>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2009"/>
        <w:gridCol w:w="1182"/>
        <w:gridCol w:w="2196"/>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gridSpan w:val="3"/>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1005"/>
              <w:rPr>
                <w:rFonts w:hint="default" w:hAnsi="宋体"/>
                <w:color w:val="auto"/>
                <w:highlight w:val="none"/>
                <w:u w:val="single"/>
                <w:lang w:val="en-US" w:eastAsia="zh-CN"/>
              </w:rPr>
            </w:pPr>
            <w:r>
              <w:rPr>
                <w:rFonts w:hint="eastAsia" w:hAnsi="宋体"/>
                <w:b/>
                <w:color w:val="auto"/>
                <w:highlight w:val="none"/>
                <w:lang w:eastAsia="zh-CN"/>
              </w:rPr>
              <w:t xml:space="preserve">2026年滨湖区区管绿化老设施养护服务项目</w:t>
            </w:r>
            <w:r/>
          </w:p>
        </w:tc>
        <w:tc>
          <w:tcPr>
            <w:gridSpan w:val="3"/>
            <w:tcW w:w="5387" w:type="dxa"/>
            <w:vAlign w:val="center"/>
            <w:textDirection w:val="lrTb"/>
            <w:noWrap w:val="false"/>
          </w:tcPr>
          <w:p>
            <w:pPr>
              <w:pStyle w:val="1005"/>
              <w:rPr>
                <w:rFonts w:hint="eastAsia" w:hAnsi="宋体"/>
                <w:color w:val="auto"/>
                <w:highlight w:val="none"/>
              </w:rPr>
            </w:pPr>
            <w:r>
              <w:rPr>
                <w:rFonts w:hint="eastAsia" w:hAnsi="宋体"/>
                <w:color w:val="auto"/>
                <w:highlight w:val="none"/>
              </w:rPr>
              <w:t xml:space="preserve">投标总报价（大写）：</w:t>
            </w:r>
            <w:r/>
          </w:p>
          <w:p>
            <w:pPr>
              <w:rPr>
                <w:rFonts w:ascii="宋体" w:hAnsi="宋体"/>
                <w:color w:val="auto"/>
                <w:sz w:val="24"/>
                <w:szCs w:val="20"/>
                <w:highlight w:val="none"/>
                <w:u w:val="none"/>
              </w:rPr>
            </w:pPr>
            <w:r>
              <w:rPr>
                <w:rFonts w:hint="eastAsia" w:ascii="宋体" w:hAnsi="宋体"/>
                <w:color w:val="auto"/>
                <w:sz w:val="24"/>
                <w:szCs w:val="20"/>
                <w:highlight w:val="none"/>
                <w:u w:val="none"/>
              </w:rPr>
              <w:t xml:space="preserve">投标总报价（小写）：</w:t>
            </w:r>
            <w:r/>
          </w:p>
        </w:tc>
      </w:tr>
      <w:tr>
        <w:trPr>
          <w:cantSplit/>
          <w:trHeight w:val="673"/>
        </w:trPr>
        <w:tc>
          <w:tcPr>
            <w:tcBorders>
              <w:bottom w:val="single" w:color="auto" w:sz="4" w:space="0"/>
            </w:tcBorders>
            <w:tcW w:w="3864" w:type="dxa"/>
            <w:vAlign w:val="center"/>
            <w:textDirection w:val="lrTb"/>
            <w:noWrap w:val="false"/>
          </w:tcPr>
          <w:p>
            <w:pPr>
              <w:jc w:val="center"/>
              <w:spacing w:line="300" w:lineRule="auto"/>
              <w:rPr>
                <w:rFonts w:hint="eastAsia" w:ascii="宋体" w:hAnsi="宋体"/>
                <w:color w:val="auto"/>
                <w:sz w:val="24"/>
                <w:highlight w:val="none"/>
              </w:rPr>
            </w:pPr>
            <w:r>
              <w:rPr>
                <w:rFonts w:hint="eastAsia" w:ascii="宋体" w:hAnsi="宋体" w:cs="黑体"/>
                <w:color w:val="auto"/>
                <w:sz w:val="24"/>
                <w:highlight w:val="none"/>
              </w:rPr>
              <w:t xml:space="preserve">养护期</w:t>
            </w:r>
            <w:r/>
          </w:p>
        </w:tc>
        <w:tc>
          <w:tcPr>
            <w:gridSpan w:val="3"/>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jc w:val="center"/>
              <w:spacing w:line="300" w:lineRule="auto"/>
              <w:rPr>
                <w:rFonts w:hint="eastAsia" w:ascii="宋体" w:hAnsi="宋体"/>
                <w:bCs/>
                <w:color w:val="auto"/>
                <w:sz w:val="24"/>
                <w:highlight w:val="none"/>
              </w:rPr>
            </w:pPr>
            <w:r>
              <w:rPr>
                <w:rFonts w:hint="eastAsia" w:ascii="宋体" w:hAnsi="宋体" w:cs="黑体"/>
                <w:color w:val="auto"/>
                <w:sz w:val="24"/>
                <w:highlight w:val="none"/>
              </w:rPr>
              <w:t xml:space="preserve">养护标准</w:t>
            </w:r>
            <w:r/>
          </w:p>
        </w:tc>
        <w:tc>
          <w:tcPr>
            <w:gridSpan w:val="3"/>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jc w:val="center"/>
              <w:spacing w:line="300" w:lineRule="auto"/>
              <w:rPr>
                <w:rFonts w:hint="eastAsia" w:ascii="宋体" w:hAnsi="宋体"/>
                <w:bCs/>
                <w:color w:val="auto"/>
                <w:sz w:val="24"/>
                <w:highlight w:val="none"/>
              </w:rPr>
            </w:pPr>
            <w:r>
              <w:rPr>
                <w:rFonts w:hint="eastAsia" w:ascii="宋体" w:hAnsi="宋体" w:cs="黑体"/>
                <w:color w:val="auto"/>
                <w:sz w:val="24"/>
                <w:highlight w:val="none"/>
              </w:rPr>
              <w:t xml:space="preserve">项目负责人</w:t>
            </w:r>
            <w:r/>
          </w:p>
        </w:tc>
        <w:tc>
          <w:tcPr>
            <w:tcW w:w="2009"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W w:w="1182"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lang w:val="en-US" w:eastAsia="zh-CN"/>
              </w:rPr>
              <w:t xml:space="preserve">证书</w:t>
            </w:r>
            <w:r>
              <w:rPr>
                <w:rFonts w:hint="eastAsia" w:ascii="宋体" w:hAnsi="宋体"/>
                <w:bCs/>
                <w:color w:val="auto"/>
                <w:sz w:val="24"/>
                <w:highlight w:val="none"/>
              </w:rPr>
              <w:t xml:space="preserve">编号</w:t>
            </w:r>
            <w:r/>
          </w:p>
        </w:tc>
        <w:tc>
          <w:tcPr>
            <w:tcW w:w="2196"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20"/>
        <w:rPr>
          <w:rFonts w:hint="eastAsia" w:ascii="Times New Roman" w:hAnsi="Times New Roman" w:eastAsia="黑体" w:cs="Times New Roman"/>
          <w:bCs/>
          <w:color w:val="auto"/>
          <w:sz w:val="24"/>
          <w:szCs w:val="24"/>
          <w:highlight w:val="none"/>
          <w:u w:val="none"/>
          <w:lang w:eastAsia="zh-CN"/>
        </w:rPr>
        <w:outlineLvl w:val="9"/>
      </w:pPr>
      <w:r>
        <w:rPr>
          <w:rFonts w:eastAsia="黑体"/>
          <w:bCs/>
          <w:color w:val="auto"/>
          <w:sz w:val="24"/>
          <w:szCs w:val="24"/>
          <w:highlight w:val="none"/>
          <w:u w:val="single"/>
        </w:rPr>
        <w:br w:type="page" w:clear="all"/>
      </w:r>
      <w:r>
        <w:rPr>
          <w:rFonts w:hint="eastAsia" w:ascii="Times New Roman" w:hAnsi="Times New Roman" w:eastAsia="黑体" w:cs="Times New Roman"/>
          <w:bCs/>
          <w:color w:val="auto"/>
          <w:sz w:val="24"/>
          <w:szCs w:val="24"/>
          <w:highlight w:val="none"/>
          <w:u w:val="none"/>
          <w:lang w:eastAsia="zh-CN"/>
        </w:rPr>
        <w:t xml:space="preserve">（</w:t>
      </w:r>
      <w:r>
        <w:rPr>
          <w:rFonts w:hint="eastAsia" w:ascii="Times New Roman" w:hAnsi="Times New Roman" w:eastAsia="黑体" w:cs="Times New Roman"/>
          <w:bCs/>
          <w:color w:val="auto"/>
          <w:sz w:val="24"/>
          <w:szCs w:val="24"/>
          <w:highlight w:val="none"/>
          <w:u w:val="none"/>
          <w:lang w:val="en-US" w:eastAsia="zh-CN"/>
        </w:rPr>
        <w:t xml:space="preserve">十</w:t>
      </w:r>
      <w:r>
        <w:rPr>
          <w:rFonts w:hint="eastAsia" w:ascii="Times New Roman" w:hAnsi="Times New Roman" w:eastAsia="黑体" w:cs="Times New Roman"/>
          <w:bCs/>
          <w:color w:val="auto"/>
          <w:sz w:val="24"/>
          <w:szCs w:val="24"/>
          <w:highlight w:val="none"/>
          <w:u w:val="none"/>
          <w:lang w:eastAsia="zh-CN"/>
        </w:rPr>
        <w:t xml:space="preserve">）养护作业人员投入计划一览表（格式）</w:t>
      </w:r>
      <w:r/>
    </w:p>
    <w:p>
      <w:pPr>
        <w:jc w:val="center"/>
        <w:rPr>
          <w:rFonts w:hint="eastAsia" w:ascii="宋体" w:hAnsi="宋体" w:eastAsia="宋体"/>
          <w:color w:val="auto"/>
          <w:sz w:val="28"/>
          <w:szCs w:val="28"/>
          <w:highlight w:val="none"/>
        </w:rPr>
        <w:outlineLvl w:val="9"/>
      </w:pPr>
      <w:r/>
      <w:bookmarkStart w:id="14" w:name="_Hlk70347089"/>
      <w:r/>
      <w:bookmarkEnd w:id="14"/>
      <w:r/>
      <w:r/>
    </w:p>
    <w:p>
      <w:pPr>
        <w:jc w:val="center"/>
        <w:rPr>
          <w:rFonts w:hint="eastAsia" w:ascii="宋体" w:hAnsi="宋体"/>
          <w:b/>
          <w:bCs/>
          <w:color w:val="auto"/>
          <w:sz w:val="28"/>
          <w:szCs w:val="28"/>
          <w:highlight w:val="none"/>
        </w:rPr>
      </w:pPr>
      <w:r/>
      <w:bookmarkStart w:id="15" w:name="_Hlk43473499"/>
      <w:r>
        <w:rPr>
          <w:rFonts w:hint="eastAsia" w:ascii="宋体" w:hAnsi="宋体"/>
          <w:b/>
          <w:bCs/>
          <w:color w:val="auto"/>
          <w:sz w:val="28"/>
          <w:szCs w:val="28"/>
          <w:highlight w:val="none"/>
        </w:rPr>
        <w:t xml:space="preserve">养护作业人员投入计划一览表</w:t>
      </w:r>
      <w:bookmarkEnd w:id="15"/>
      <w:r/>
      <w:r/>
    </w:p>
    <w:p>
      <w:pP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  人</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604"/>
        <w:gridCol w:w="987"/>
        <w:gridCol w:w="1735"/>
        <w:gridCol w:w="906"/>
        <w:gridCol w:w="906"/>
        <w:gridCol w:w="906"/>
        <w:gridCol w:w="1535"/>
        <w:gridCol w:w="956"/>
        <w:gridCol w:w="901"/>
      </w:tblGrid>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序号</w:t>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姓名</w:t>
            </w:r>
            <w:r/>
          </w:p>
        </w:tc>
        <w:tc>
          <w:tcPr>
            <w:tcW w:w="487" w:type="pct"/>
            <w:vAlign w:val="top"/>
            <w:textDirection w:val="lrTb"/>
            <w:noWrap w:val="false"/>
          </w:tcPr>
          <w:p>
            <w:pPr>
              <w:jc w:val="center"/>
              <w:spacing w:before="120" w:line="4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职务</w:t>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身份证编号</w:t>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年龄</w:t>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性别</w:t>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专业</w:t>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职业资格等级证书</w:t>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社保/商保</w:t>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备注</w:t>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jc w:val="center"/>
          <w:trHeight w:val="793"/>
        </w:trPr>
        <w:tc>
          <w:tcPr>
            <w:tcW w:w="34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298"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8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856"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757"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71"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445" w:type="pct"/>
            <w:vAlign w:val="top"/>
            <w:textDirection w:val="lrTb"/>
            <w:noWrap w:val="false"/>
          </w:tcPr>
          <w:p>
            <w:pPr>
              <w:jc w:val="center"/>
              <w:spacing w:before="120" w:line="40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bl>
    <w:p>
      <w:pPr>
        <w:pStyle w:val="734"/>
        <w:ind w:left="1260"/>
        <w:spacing w:before="0" w:beforeAutospacing="0" w:after="0" w:afterAutospacing="0" w:line="480" w:lineRule="atLeast"/>
        <w:shd w:val="clear" w:color="auto" w:fill="ffffff"/>
        <w:rPr>
          <w:rFonts w:hint="eastAsia" w:eastAsia="宋体" w:cs="Times New Roman"/>
          <w:color w:val="auto"/>
          <w:highlight w:val="none"/>
        </w:rPr>
      </w:pPr>
      <w:r>
        <w:rPr>
          <w:rFonts w:hint="default" w:eastAsia="宋体" w:cs="Times New Roman"/>
          <w:color w:val="auto"/>
          <w:highlight w:val="none"/>
        </w:rPr>
        <w:tab/>
      </w:r>
      <w:r>
        <w:rPr>
          <w:rFonts w:hint="default" w:eastAsia="宋体" w:cs="Times New Roman"/>
          <w:color w:val="auto"/>
          <w:highlight w:val="none"/>
        </w:rPr>
        <w:tab/>
      </w:r>
      <w:r>
        <w:rPr>
          <w:rFonts w:hint="default" w:eastAsia="宋体" w:cs="Times New Roman"/>
          <w:color w:val="auto"/>
          <w:highlight w:val="none"/>
        </w:rPr>
        <w:tab/>
      </w:r>
      <w:r>
        <w:rPr>
          <w:rFonts w:hint="default" w:eastAsia="宋体" w:cs="Times New Roman"/>
          <w:color w:val="auto"/>
          <w:highlight w:val="none"/>
        </w:rPr>
        <w:tab/>
      </w:r>
      <w:r>
        <w:rPr>
          <w:rFonts w:hint="default" w:eastAsia="宋体" w:cs="Times New Roman"/>
          <w:color w:val="auto"/>
          <w:highlight w:val="none"/>
        </w:rPr>
        <w:tab/>
      </w:r>
      <w:r>
        <w:rPr>
          <w:rFonts w:hint="default" w:eastAsia="宋体" w:cs="Times New Roman"/>
          <w:color w:val="auto"/>
          <w:highlight w:val="none"/>
        </w:rPr>
        <w:tab/>
      </w:r>
      <w:r>
        <w:rPr>
          <w:rFonts w:hint="default" w:eastAsia="宋体" w:cs="Times New Roman"/>
          <w:color w:val="auto"/>
          <w:highlight w:val="none"/>
        </w:rPr>
        <w:tab/>
      </w:r>
      <w:r>
        <w:rPr>
          <w:rFonts w:hint="eastAsia" w:cs="Times New Roman"/>
          <w:color w:val="auto"/>
          <w:highlight w:val="none"/>
          <w:lang w:val="en-US" w:eastAsia="zh-CN"/>
        </w:rPr>
        <w:t xml:space="preserve"> </w:t>
      </w:r>
      <w:r>
        <w:rPr>
          <w:rFonts w:hint="eastAsia" w:eastAsia="宋体" w:cs="Times New Roman"/>
          <w:color w:val="auto"/>
          <w:highlight w:val="none"/>
        </w:rPr>
        <w:t xml:space="preserve">单位名称（盖章）：</w:t>
      </w:r>
      <w:r/>
    </w:p>
    <w:p>
      <w:pPr>
        <w:pStyle w:val="734"/>
        <w:ind w:left="1260"/>
        <w:spacing w:before="0" w:beforeAutospacing="0" w:after="0" w:afterAutospacing="0" w:line="480" w:lineRule="atLeast"/>
        <w:shd w:val="clear" w:color="auto" w:fill="ffffff"/>
        <w:rPr>
          <w:rFonts w:hint="default" w:eastAsia="宋体" w:cs="Times New Roman"/>
          <w:color w:val="auto"/>
          <w:highlight w:val="none"/>
        </w:rPr>
      </w:pPr>
      <w:r>
        <w:rPr>
          <w:rFonts w:hint="eastAsia" w:cs="Times New Roman"/>
          <w:color w:val="auto"/>
          <w:highlight w:val="none"/>
          <w:lang w:val="en-US" w:eastAsia="zh-CN"/>
        </w:rPr>
        <w:t xml:space="preserve">                         </w:t>
      </w:r>
      <w:r>
        <w:rPr>
          <w:rFonts w:hint="eastAsia" w:eastAsia="宋体" w:cs="Times New Roman"/>
          <w:color w:val="auto"/>
          <w:highlight w:val="none"/>
        </w:rPr>
        <w:t xml:space="preserve">日</w:t>
      </w:r>
      <w:r>
        <w:rPr>
          <w:rFonts w:hint="eastAsia" w:cs="Times New Roman"/>
          <w:color w:val="auto"/>
          <w:highlight w:val="none"/>
          <w:lang w:val="en-US" w:eastAsia="zh-CN"/>
        </w:rPr>
        <w:t xml:space="preserve">     </w:t>
      </w:r>
      <w:r>
        <w:rPr>
          <w:rFonts w:hint="eastAsia" w:eastAsia="宋体" w:cs="Times New Roman"/>
          <w:color w:val="auto"/>
          <w:highlight w:val="none"/>
        </w:rPr>
        <w:t xml:space="preserve">期：</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注：1、表格中须填写本</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rPr>
        <w:t xml:space="preserve">内所有投入人员，包含项目经理、技术工人和一般作业人员，职务一栏填写项目经理/技术工人/一般作业人员。</w:t>
      </w:r>
      <w:r/>
    </w:p>
    <w:p>
      <w:pPr>
        <w:ind w:firstLine="420"/>
        <w:rPr>
          <w:rFonts w:hint="eastAsia" w:eastAsia="黑体"/>
          <w:b/>
          <w:bCs w:val="0"/>
          <w:color w:val="auto"/>
          <w:sz w:val="24"/>
          <w:szCs w:val="24"/>
          <w:highlight w:val="none"/>
          <w:u w:val="none"/>
          <w:lang w:eastAsia="zh-CN"/>
        </w:rPr>
        <w:outlineLvl w:val="9"/>
      </w:pP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（表格可自行拓展）后附养护作业人员最近三个月</w:t>
      </w:r>
      <w:r>
        <w:rPr>
          <w:rFonts w:hint="eastAsia" w:ascii="宋体" w:hAnsi="宋体" w:eastAsia="宋体" w:cs="Times New Roman"/>
          <w:color w:val="auto"/>
          <w:sz w:val="24"/>
          <w:szCs w:val="24"/>
          <w:highlight w:val="none"/>
          <w:lang w:val="en-US" w:eastAsia="zh-CN"/>
        </w:rPr>
        <w:t xml:space="preserve">中任意一个月</w:t>
      </w:r>
      <w:r>
        <w:rPr>
          <w:rFonts w:hint="eastAsia" w:ascii="宋体" w:hAnsi="宋体" w:eastAsia="宋体" w:cs="Times New Roman"/>
          <w:color w:val="auto"/>
          <w:sz w:val="24"/>
          <w:szCs w:val="24"/>
          <w:highlight w:val="none"/>
        </w:rPr>
        <w:t xml:space="preserve">（不含投标当月）社保、技术工人中级或以上职业等级证书复印件（投标时必须提交原件）。一般作业人员不具备社保的可提供中标后由投标供应商为其购买商业保险</w:t>
      </w:r>
      <w:r>
        <w:rPr>
          <w:rFonts w:hint="eastAsia" w:ascii="宋体" w:hAnsi="宋体" w:eastAsia="宋体" w:cs="黑体"/>
          <w:color w:val="auto"/>
          <w:sz w:val="24"/>
          <w:szCs w:val="24"/>
          <w:highlight w:val="none"/>
          <w:lang w:val="zh-CN"/>
        </w:rPr>
        <w:t xml:space="preserve">的承诺书。</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十一</w:t>
      </w:r>
      <w:r>
        <w:rPr>
          <w:rFonts w:hint="eastAsia" w:eastAsia="黑体"/>
          <w:bCs/>
          <w:color w:val="auto"/>
          <w:sz w:val="24"/>
          <w:szCs w:val="24"/>
          <w:highlight w:val="none"/>
          <w:lang w:eastAsia="zh-CN"/>
        </w:rPr>
        <w:t xml:space="preserve">）项目负责人简历表（格式）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t xml:space="preserve">项目负责人简历表</w:t>
      </w:r>
      <w:r/>
    </w:p>
    <w:p>
      <w:pPr>
        <w:ind w:left="420"/>
        <w:rPr>
          <w:rFonts w:hint="eastAsia" w:ascii="宋体" w:hAnsi="宋体"/>
          <w:b w:val="0"/>
          <w:bCs w:val="0"/>
          <w:color w:val="auto"/>
          <w:sz w:val="21"/>
          <w:highlight w:val="none"/>
        </w:rPr>
        <w:outlineLvl w:val="9"/>
      </w:pPr>
      <w:r>
        <w:rPr>
          <w:rFonts w:hint="eastAsia"/>
          <w:b w:val="0"/>
          <w:bCs w:val="0"/>
          <w:color w:val="auto"/>
          <w:sz w:val="24"/>
          <w:highlight w:val="none"/>
          <w:u w:val="single"/>
        </w:rPr>
        <w:t xml:space="preserve">     </w:t>
      </w:r>
      <w:r>
        <w:rPr>
          <w:rFonts w:hint="eastAsia"/>
          <w:b w:val="0"/>
          <w:bCs w:val="0"/>
          <w:color w:val="auto"/>
          <w:sz w:val="24"/>
          <w:highlight w:val="none"/>
          <w:u w:val="single"/>
          <w:lang w:val="en-US" w:eastAsia="zh-CN"/>
        </w:rPr>
        <w:t xml:space="preserve">   </w:t>
      </w:r>
      <w:r>
        <w:rPr>
          <w:rFonts w:hint="eastAsia"/>
          <w:b w:val="0"/>
          <w:bCs w:val="0"/>
          <w:color w:val="auto"/>
          <w:sz w:val="24"/>
          <w:highlight w:val="none"/>
          <w:u w:val="single"/>
        </w:rPr>
        <w:t xml:space="preserve">   </w:t>
      </w:r>
      <w:r>
        <w:rPr>
          <w:rFonts w:hint="eastAsia" w:ascii="Times New Roman" w:hAnsi="Times New Roman" w:eastAsia="宋体" w:cs="Times New Roman"/>
          <w:b w:val="0"/>
          <w:bCs w:val="0"/>
          <w:color w:val="auto"/>
          <w:sz w:val="24"/>
          <w:szCs w:val="24"/>
          <w:highlight w:val="none"/>
          <w:lang w:val="en-US" w:eastAsia="zh-CN" w:bidi="ar-SA"/>
        </w:rPr>
        <w:t xml:space="preserve">项目  </w:t>
      </w:r>
      <w:r>
        <w:rPr>
          <w:rFonts w:hint="eastAsia"/>
          <w:color w:val="auto"/>
          <w:highlight w:val="none"/>
        </w:rPr>
        <w:t xml:space="preserve">                                                                                                                           </w:t>
      </w:r>
      <w:r/>
    </w:p>
    <w:tbl>
      <w:tblPr>
        <w:tblStyle w:val="711"/>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0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年龄</w:t>
            </w:r>
            <w:r/>
          </w:p>
        </w:tc>
        <w:tc>
          <w:tcPr>
            <w:gridSpan w:val="2"/>
            <w:tcW w:w="180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0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学历</w:t>
            </w:r>
            <w:r/>
          </w:p>
        </w:tc>
        <w:tc>
          <w:tcPr>
            <w:gridSpan w:val="2"/>
            <w:tcW w:w="180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5"/>
            <w:tcW w:w="262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担任项目负责人年限</w:t>
            </w:r>
            <w:r/>
          </w:p>
        </w:tc>
        <w:tc>
          <w:tcPr>
            <w:tcW w:w="139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注册建造师注册编号</w:t>
            </w:r>
            <w:r/>
          </w:p>
        </w:tc>
        <w:tc>
          <w:tcPr>
            <w:gridSpan w:val="10"/>
            <w:tcW w:w="59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开、竣工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tc>
        <w:tc>
          <w:tcPr>
            <w:gridSpan w:val="2"/>
            <w:tcW w:w="105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在建或已完</w:t>
            </w:r>
            <w:r/>
          </w:p>
        </w:tc>
        <w:tc>
          <w:tcPr>
            <w:tcW w:w="139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05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39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05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39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十二</w:t>
      </w:r>
      <w:r>
        <w:rPr>
          <w:rFonts w:hint="eastAsia" w:eastAsia="黑体"/>
          <w:bCs/>
          <w:color w:val="auto"/>
          <w:sz w:val="24"/>
          <w:szCs w:val="24"/>
          <w:highlight w:val="none"/>
          <w:lang w:eastAsia="zh-CN"/>
        </w:rPr>
        <w:t xml:space="preserve">）项目技术负责人简历表（格式）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t xml:space="preserve">项目技术负责人简历表</w:t>
      </w:r>
      <w:r/>
    </w:p>
    <w:p>
      <w:pPr>
        <w:jc w:val="right"/>
        <w:spacing w:line="360" w:lineRule="auto"/>
        <w:rPr>
          <w:rFonts w:hint="eastAsia"/>
          <w:color w:val="auto"/>
          <w:highlight w:val="none"/>
        </w:rPr>
      </w:pPr>
      <w:r>
        <w:rPr>
          <w:rFonts w:hint="eastAsia"/>
          <w:color w:val="auto"/>
          <w:sz w:val="24"/>
          <w:highlight w:val="none"/>
          <w:u w:val="single"/>
        </w:rPr>
        <w:t xml:space="preserve">                   </w:t>
      </w:r>
      <w:r>
        <w:rPr>
          <w:rFonts w:hint="eastAsia"/>
          <w:color w:val="auto"/>
          <w:sz w:val="24"/>
          <w:highlight w:val="none"/>
        </w:rPr>
        <w:t xml:space="preserve">项目 </w:t>
      </w:r>
      <w:r>
        <w:rPr>
          <w:rFonts w:hint="eastAsia"/>
          <w:color w:val="auto"/>
          <w:highlight w:val="none"/>
        </w:rPr>
        <w:t xml:space="preserve">                                                                      </w:t>
      </w:r>
      <w:r/>
    </w:p>
    <w:tbl>
      <w:tblPr>
        <w:tblStyle w:val="711"/>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性别</w:t>
            </w:r>
            <w:r/>
          </w:p>
        </w:tc>
        <w:tc>
          <w:tcPr>
            <w:gridSpan w:val="3"/>
            <w:tcW w:w="20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90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年龄</w:t>
            </w:r>
            <w:r/>
          </w:p>
        </w:tc>
        <w:tc>
          <w:tcPr>
            <w:gridSpan w:val="3"/>
            <w:tcW w:w="243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8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职称</w:t>
            </w:r>
            <w:r/>
          </w:p>
        </w:tc>
        <w:tc>
          <w:tcPr>
            <w:gridSpan w:val="3"/>
            <w:tcW w:w="204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90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学历</w:t>
            </w:r>
            <w:r/>
          </w:p>
        </w:tc>
        <w:tc>
          <w:tcPr>
            <w:gridSpan w:val="3"/>
            <w:tcW w:w="243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00"/>
        </w:trPr>
        <w:tc>
          <w:tcPr>
            <w:gridSpan w:val="3"/>
            <w:tcW w:w="241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参加工作时间</w:t>
            </w:r>
            <w:r/>
          </w:p>
        </w:tc>
        <w:tc>
          <w:tcPr>
            <w:gridSpan w:val="4"/>
            <w:tcW w:w="23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5"/>
            <w:tcW w:w="262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20"/>
        </w:trPr>
        <w:tc>
          <w:tcPr>
            <w:gridSpan w:val="14"/>
            <w:tcW w:w="955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开、竣工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tc>
        <w:tc>
          <w:tcPr>
            <w:gridSpan w:val="3"/>
            <w:tcW w:w="136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在建或</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已 完</w:t>
            </w:r>
            <w:r/>
          </w:p>
        </w:tc>
        <w:tc>
          <w:tcPr>
            <w:tcW w:w="189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工程质量</w:t>
            </w:r>
            <w:r/>
          </w:p>
        </w:tc>
      </w:tr>
      <w:tr>
        <w:trPr>
          <w:trHeight w:val="600"/>
        </w:trPr>
        <w:tc>
          <w:tcPr>
            <w:gridSpan w:val="2"/>
            <w:tcW w:w="14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3"/>
            <w:tcW w:w="136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89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600"/>
        </w:trPr>
        <w:tc>
          <w:tcPr>
            <w:gridSpan w:val="2"/>
            <w:tcW w:w="14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gridSpan w:val="3"/>
            <w:tcW w:w="1365"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89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default" w:eastAsia="黑体"/>
          <w:bCs/>
          <w:color w:val="auto"/>
          <w:sz w:val="24"/>
          <w:szCs w:val="24"/>
          <w:highlight w:val="none"/>
          <w:lang w:val="en-US" w:eastAsia="zh-CN"/>
        </w:rPr>
        <w:outlineLvl w:val="9"/>
      </w:pPr>
      <w:r>
        <w:rPr>
          <w:rFonts w:hint="eastAsia" w:eastAsia="黑体"/>
          <w:bCs/>
          <w:color w:val="auto"/>
          <w:sz w:val="24"/>
          <w:szCs w:val="24"/>
          <w:highlight w:val="none"/>
          <w:lang w:val="en-US" w:eastAsia="zh-CN"/>
        </w:rPr>
        <w:t xml:space="preserve">（十三）</w:t>
      </w:r>
      <w:bookmarkStart w:id="16" w:name="_Hlk43475763"/>
      <w:r>
        <w:rPr>
          <w:rFonts w:hint="eastAsia" w:eastAsia="黑体"/>
          <w:bCs/>
          <w:color w:val="auto"/>
          <w:sz w:val="24"/>
          <w:szCs w:val="24"/>
          <w:highlight w:val="none"/>
          <w:lang w:val="en-US" w:eastAsia="zh-CN"/>
        </w:rPr>
        <w:t xml:space="preserve">投入的主要车辆明细表</w:t>
      </w:r>
      <w:bookmarkEnd w:id="16"/>
      <w:r>
        <w:rPr>
          <w:rFonts w:hint="eastAsia" w:eastAsia="黑体"/>
          <w:bCs/>
          <w:color w:val="auto"/>
          <w:sz w:val="24"/>
          <w:szCs w:val="24"/>
          <w:highlight w:val="none"/>
          <w:lang w:val="en-US" w:eastAsia="zh-CN"/>
        </w:rPr>
        <w:t xml:space="preserve">（格式）</w:t>
      </w:r>
      <w:r/>
    </w:p>
    <w:p>
      <w:pPr>
        <w:ind w:firstLine="492"/>
        <w:jc w:val="center"/>
        <w:rPr>
          <w:rFonts w:hint="eastAsia" w:ascii="宋体" w:hAnsi="宋体" w:eastAsia="宋体" w:cs="Times New Roman"/>
          <w:b/>
          <w:bCs/>
          <w:color w:val="auto"/>
          <w:sz w:val="28"/>
          <w:szCs w:val="28"/>
          <w:highlight w:val="none"/>
        </w:rPr>
        <w:outlineLvl w:val="9"/>
      </w:pPr>
      <w:r>
        <w:rPr>
          <w:rFonts w:hint="eastAsia" w:ascii="宋体" w:hAnsi="宋体" w:eastAsia="宋体" w:cs="Times New Roman"/>
          <w:b/>
          <w:bCs/>
          <w:color w:val="auto"/>
          <w:sz w:val="28"/>
          <w:szCs w:val="28"/>
          <w:highlight w:val="none"/>
        </w:rPr>
        <w:t xml:space="preserve">投入的主要车辆明细表</w:t>
      </w:r>
      <w:r/>
    </w:p>
    <w:p>
      <w:pPr>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                                                               </w:t>
      </w:r>
      <w:r/>
    </w:p>
    <w:tbl>
      <w:tblPr>
        <w:tblStyle w:val="71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25"/>
        <w:gridCol w:w="1043"/>
        <w:gridCol w:w="708"/>
        <w:gridCol w:w="1134"/>
        <w:gridCol w:w="1276"/>
        <w:gridCol w:w="1843"/>
        <w:gridCol w:w="1417"/>
        <w:gridCol w:w="1741"/>
      </w:tblGrid>
      <w:tr>
        <w:trPr>
          <w:cantSplit/>
          <w:trHeight w:val="968"/>
        </w:trPr>
        <w:tc>
          <w:tcPr>
            <w:tcW w:w="625"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序号</w:t>
            </w:r>
            <w:r/>
          </w:p>
        </w:tc>
        <w:tc>
          <w:tcPr>
            <w:tcW w:w="1043"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所有人</w:t>
            </w:r>
            <w:r/>
          </w:p>
        </w:tc>
        <w:tc>
          <w:tcPr>
            <w:tcW w:w="708"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号牌</w:t>
            </w:r>
            <w:r/>
          </w:p>
        </w:tc>
        <w:tc>
          <w:tcPr>
            <w:tcW w:w="1134"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车辆类型</w:t>
            </w:r>
            <w:r/>
          </w:p>
        </w:tc>
        <w:tc>
          <w:tcPr>
            <w:tcW w:w="1276"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车辆型号</w:t>
            </w:r>
            <w:r/>
          </w:p>
        </w:tc>
        <w:tc>
          <w:tcPr>
            <w:tcW w:w="1843"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车辆注册登记日</w:t>
            </w:r>
            <w:r/>
          </w:p>
        </w:tc>
        <w:tc>
          <w:tcPr>
            <w:tcW w:w="1417"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车架号</w:t>
            </w:r>
            <w:r/>
          </w:p>
        </w:tc>
        <w:tc>
          <w:tcPr>
            <w:tcW w:w="1741"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备注</w:t>
            </w:r>
            <w:r/>
          </w:p>
        </w:tc>
      </w:tr>
      <w:tr>
        <w:trPr/>
        <w:tc>
          <w:tcPr>
            <w:tcW w:w="625"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p>
        </w:tc>
        <w:tc>
          <w:tcPr>
            <w:tcW w:w="1843" w:type="dxa"/>
            <w:vAlign w:val="center"/>
            <w:textDirection w:val="lrTb"/>
            <w:noWrap w:val="false"/>
          </w:tcPr>
          <w:p>
            <w:pPr>
              <w:jc w:val="left"/>
              <w:spacing w:before="156" w:after="156"/>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1417"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center"/>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c>
          <w:tcPr>
            <w:tcW w:w="625"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0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708"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134"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276"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843"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417"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1741" w:type="dxa"/>
            <w:vAlign w:val="top"/>
            <w:textDirection w:val="lrTb"/>
            <w:noWrap w:val="false"/>
          </w:tcPr>
          <w:p>
            <w:pPr>
              <w:jc w:val="left"/>
              <w:spacing w:before="156" w:after="156"/>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bl>
    <w:p>
      <w:pPr>
        <w:jc w:val="left"/>
        <w:spacing w:before="156" w:after="156"/>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注：表后附相关车辆（含车牌号等标志）图片、发票或调拨单、行驶证等配套复印件或扫描件并加盖公章。</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十四</w:t>
      </w:r>
      <w:r>
        <w:rPr>
          <w:rFonts w:hint="eastAsia" w:eastAsia="黑体"/>
          <w:bCs/>
          <w:color w:val="auto"/>
          <w:sz w:val="24"/>
          <w:szCs w:val="24"/>
          <w:highlight w:val="none"/>
          <w:lang w:eastAsia="zh-CN"/>
        </w:rPr>
        <w:t xml:space="preserve">）主要机械设备表（格式）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t xml:space="preserve">主要机械设备表</w:t>
      </w:r>
      <w:r/>
    </w:p>
    <w:tbl>
      <w:tblPr>
        <w:tblStyle w:val="7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87"/>
        <w:gridCol w:w="1098"/>
        <w:gridCol w:w="1200"/>
        <w:gridCol w:w="647"/>
        <w:gridCol w:w="1365"/>
        <w:gridCol w:w="1260"/>
        <w:gridCol w:w="735"/>
        <w:gridCol w:w="840"/>
        <w:gridCol w:w="735"/>
      </w:tblGrid>
      <w:tr>
        <w:trPr>
          <w:cantSplit/>
          <w:jc w:val="center"/>
          <w:trHeight w:val="968"/>
        </w:trPr>
        <w:tc>
          <w:tcPr>
            <w:tcW w:w="687"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序</w:t>
            </w:r>
            <w:r/>
          </w:p>
          <w:p>
            <w:pPr>
              <w:jc w:val="left"/>
              <w:spacing w:before="240" w:line="120" w:lineRule="exact"/>
              <w:rPr>
                <w:rFonts w:hint="eastAsia"/>
                <w:bCs/>
                <w:color w:val="auto"/>
                <w:highlight w:val="none"/>
              </w:rPr>
            </w:pPr>
            <w:r>
              <w:rPr>
                <w:rFonts w:hint="eastAsia"/>
                <w:bCs/>
                <w:color w:val="auto"/>
                <w:highlight w:val="none"/>
              </w:rPr>
              <w:t xml:space="preserve">号</w:t>
            </w:r>
            <w:r/>
          </w:p>
        </w:tc>
        <w:tc>
          <w:tcPr>
            <w:tcW w:w="1098"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机械或</w:t>
            </w:r>
            <w:r/>
          </w:p>
          <w:p>
            <w:pPr>
              <w:jc w:val="left"/>
              <w:spacing w:before="240" w:line="120" w:lineRule="exact"/>
              <w:rPr>
                <w:rFonts w:hint="eastAsia"/>
                <w:bCs/>
                <w:color w:val="auto"/>
                <w:highlight w:val="none"/>
              </w:rPr>
            </w:pPr>
            <w:r>
              <w:rPr>
                <w:rFonts w:hint="eastAsia"/>
                <w:bCs/>
                <w:color w:val="auto"/>
                <w:highlight w:val="none"/>
              </w:rPr>
              <w:t xml:space="preserve">设备名称</w:t>
            </w:r>
            <w:r/>
          </w:p>
        </w:tc>
        <w:tc>
          <w:tcPr>
            <w:tcW w:w="1200"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型号规格</w:t>
            </w:r>
            <w:r/>
          </w:p>
        </w:tc>
        <w:tc>
          <w:tcPr>
            <w:tcW w:w="647"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数</w:t>
            </w:r>
            <w:r/>
          </w:p>
          <w:p>
            <w:pPr>
              <w:jc w:val="left"/>
              <w:spacing w:before="240" w:line="120" w:lineRule="exact"/>
              <w:rPr>
                <w:rFonts w:hint="eastAsia"/>
                <w:bCs/>
                <w:color w:val="auto"/>
                <w:highlight w:val="none"/>
              </w:rPr>
            </w:pPr>
            <w:r>
              <w:rPr>
                <w:rFonts w:hint="eastAsia"/>
                <w:bCs/>
                <w:color w:val="auto"/>
                <w:highlight w:val="none"/>
              </w:rPr>
              <w:t xml:space="preserve">量</w:t>
            </w:r>
            <w:r/>
          </w:p>
        </w:tc>
        <w:tc>
          <w:tcPr>
            <w:tcW w:w="1365"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国别产地</w:t>
            </w:r>
            <w:r/>
          </w:p>
        </w:tc>
        <w:tc>
          <w:tcPr>
            <w:tcW w:w="1260"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制造年份</w:t>
            </w:r>
            <w:r/>
          </w:p>
        </w:tc>
        <w:tc>
          <w:tcPr>
            <w:tcW w:w="735" w:type="dxa"/>
            <w:vAlign w:val="center"/>
            <w:textDirection w:val="lrTb"/>
            <w:noWrap w:val="false"/>
          </w:tcPr>
          <w:p>
            <w:pPr>
              <w:jc w:val="left"/>
              <w:spacing w:line="280" w:lineRule="exact"/>
              <w:rPr>
                <w:rFonts w:hint="eastAsia"/>
                <w:bCs/>
                <w:color w:val="auto"/>
                <w:highlight w:val="none"/>
              </w:rPr>
            </w:pPr>
            <w:r>
              <w:rPr>
                <w:rFonts w:hint="eastAsia"/>
                <w:bCs/>
                <w:color w:val="auto"/>
                <w:highlight w:val="none"/>
              </w:rPr>
              <w:t xml:space="preserve">额定</w:t>
            </w:r>
            <w:r/>
          </w:p>
          <w:p>
            <w:pPr>
              <w:jc w:val="left"/>
              <w:spacing w:line="280" w:lineRule="exact"/>
              <w:rPr>
                <w:rFonts w:hint="eastAsia"/>
                <w:bCs/>
                <w:color w:val="auto"/>
                <w:highlight w:val="none"/>
              </w:rPr>
            </w:pPr>
            <w:r>
              <w:rPr>
                <w:rFonts w:hint="eastAsia"/>
                <w:bCs/>
                <w:color w:val="auto"/>
                <w:highlight w:val="none"/>
              </w:rPr>
              <w:t xml:space="preserve">功率</w:t>
            </w:r>
            <w:r/>
          </w:p>
          <w:p>
            <w:pPr>
              <w:jc w:val="left"/>
              <w:spacing w:line="280" w:lineRule="exact"/>
              <w:rPr>
                <w:rFonts w:hint="eastAsia"/>
                <w:bCs/>
                <w:color w:val="auto"/>
                <w:highlight w:val="none"/>
              </w:rPr>
            </w:pPr>
            <w:r>
              <w:rPr>
                <w:rFonts w:hint="eastAsia"/>
                <w:bCs/>
                <w:color w:val="auto"/>
                <w:highlight w:val="none"/>
                <w:lang w:eastAsia="zh-CN"/>
              </w:rPr>
              <w:t xml:space="preserve">kW</w:t>
            </w:r>
            <w:r/>
          </w:p>
        </w:tc>
        <w:tc>
          <w:tcPr>
            <w:tcW w:w="840" w:type="dxa"/>
            <w:vAlign w:val="center"/>
            <w:textDirection w:val="lrTb"/>
            <w:noWrap w:val="false"/>
          </w:tcPr>
          <w:p>
            <w:pPr>
              <w:jc w:val="left"/>
              <w:spacing w:line="360" w:lineRule="exact"/>
              <w:rPr>
                <w:rFonts w:hint="eastAsia"/>
                <w:bCs/>
                <w:color w:val="auto"/>
                <w:highlight w:val="none"/>
              </w:rPr>
            </w:pPr>
            <w:r>
              <w:rPr>
                <w:rFonts w:hint="eastAsia"/>
                <w:bCs/>
                <w:color w:val="auto"/>
                <w:highlight w:val="none"/>
              </w:rPr>
              <w:t xml:space="preserve">生产能力</w:t>
            </w:r>
            <w:r/>
          </w:p>
        </w:tc>
        <w:tc>
          <w:tcPr>
            <w:tcW w:w="735" w:type="dxa"/>
            <w:vAlign w:val="center"/>
            <w:textDirection w:val="lrTb"/>
            <w:noWrap w:val="false"/>
          </w:tcPr>
          <w:p>
            <w:pPr>
              <w:jc w:val="left"/>
              <w:spacing w:before="240" w:line="120" w:lineRule="exact"/>
              <w:rPr>
                <w:rFonts w:hint="eastAsia"/>
                <w:bCs/>
                <w:color w:val="auto"/>
                <w:highlight w:val="none"/>
              </w:rPr>
            </w:pPr>
            <w:r>
              <w:rPr>
                <w:rFonts w:hint="eastAsia"/>
                <w:bCs/>
                <w:color w:val="auto"/>
                <w:highlight w:val="none"/>
              </w:rPr>
              <w:t xml:space="preserve">备注</w:t>
            </w:r>
            <w:r/>
          </w:p>
        </w:tc>
      </w:tr>
      <w:tr>
        <w:trPr>
          <w:jc w:val="center"/>
        </w:trPr>
        <w:tc>
          <w:tcPr>
            <w:tcW w:w="687"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center"/>
            <w:textDirection w:val="lrTb"/>
            <w:noWrap w:val="false"/>
          </w:tcPr>
          <w:p>
            <w:pPr>
              <w:jc w:val="left"/>
              <w:spacing w:before="240" w:line="160" w:lineRule="exact"/>
              <w:rPr>
                <w:bCs/>
                <w:color w:val="auto"/>
                <w:highlight w:val="none"/>
              </w:rPr>
            </w:pPr>
            <w:r>
              <w:rPr>
                <w:bCs/>
                <w:color w:val="auto"/>
                <w:highlight w:val="none"/>
              </w:rPr>
            </w:r>
            <w:r/>
          </w:p>
        </w:tc>
        <w:tc>
          <w:tcPr>
            <w:tcW w:w="840"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center"/>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bCs/>
                <w:color w:val="auto"/>
                <w:highlight w:val="none"/>
              </w:rPr>
            </w:pPr>
            <w:r>
              <w:rPr>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bCs/>
                <w:color w:val="auto"/>
                <w:highlight w:val="none"/>
              </w:rPr>
            </w:pPr>
            <w:r>
              <w:rPr>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r>
        <w:trPr>
          <w:jc w:val="center"/>
        </w:trPr>
        <w:tc>
          <w:tcPr>
            <w:tcW w:w="68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098"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0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647"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36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126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840"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c>
          <w:tcPr>
            <w:tcW w:w="735" w:type="dxa"/>
            <w:vAlign w:val="top"/>
            <w:textDirection w:val="lrTb"/>
            <w:noWrap w:val="false"/>
          </w:tcPr>
          <w:p>
            <w:pPr>
              <w:jc w:val="left"/>
              <w:spacing w:before="240" w:line="160" w:lineRule="exact"/>
              <w:rPr>
                <w:rFonts w:hint="eastAsia"/>
                <w:bCs/>
                <w:color w:val="auto"/>
                <w:highlight w:val="none"/>
              </w:rPr>
            </w:pPr>
            <w:r>
              <w:rPr>
                <w:rFonts w:hint="eastAsia"/>
                <w:bCs/>
                <w:color w:val="auto"/>
                <w:highlight w:val="none"/>
              </w:rPr>
            </w:r>
            <w:r/>
          </w:p>
        </w:tc>
      </w:tr>
    </w:tbl>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十五</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投标偏离表（格式）</w:t>
      </w:r>
      <w:r/>
    </w:p>
    <w:p>
      <w:pPr>
        <w:ind w:firstLine="490"/>
        <w:jc w:val="center"/>
        <w:rPr>
          <w:rFonts w:eastAsia="黑体"/>
          <w:bCs/>
          <w:color w:val="auto"/>
          <w:sz w:val="28"/>
          <w:szCs w:val="28"/>
          <w:highlight w:val="none"/>
        </w:rPr>
        <w:outlineLvl w:val="9"/>
      </w:pPr>
      <w:r>
        <w:rPr>
          <w:rFonts w:eastAsia="黑体"/>
          <w:bCs/>
          <w:color w:val="auto"/>
          <w:sz w:val="28"/>
          <w:szCs w:val="28"/>
          <w:highlight w:val="none"/>
        </w:rPr>
        <w:t xml:space="preserve">投标偏离表</w:t>
      </w:r>
      <w:r/>
    </w:p>
    <w:p>
      <w:pPr>
        <w:jc w:val="center"/>
        <w:spacing w:line="400" w:lineRule="exact"/>
        <w:rPr>
          <w:rFonts w:eastAsia="黑体"/>
          <w:bCs/>
          <w:color w:val="auto"/>
          <w:sz w:val="28"/>
          <w:szCs w:val="28"/>
          <w:highlight w:val="none"/>
        </w:rPr>
        <w:outlineLvl w:val="9"/>
      </w:pPr>
      <w:r>
        <w:rPr>
          <w:rFonts w:eastAsia="黑体"/>
          <w:bCs/>
          <w:color w:val="auto"/>
          <w:sz w:val="28"/>
          <w:szCs w:val="28"/>
          <w:highlight w:val="none"/>
        </w:rPr>
      </w:r>
      <w:r/>
    </w:p>
    <w:p>
      <w:pPr>
        <w:jc w:val="center"/>
        <w:spacing w:line="400" w:lineRule="exact"/>
        <w:rPr>
          <w:rFonts w:eastAsia="黑体"/>
          <w:bCs/>
          <w:color w:val="auto"/>
          <w:sz w:val="28"/>
          <w:szCs w:val="28"/>
          <w:highlight w:val="none"/>
        </w:rPr>
        <w:outlineLvl w:val="9"/>
      </w:pPr>
      <w:r>
        <w:rPr>
          <w:rFonts w:eastAsia="黑体"/>
          <w:bCs/>
          <w:color w:val="auto"/>
          <w:sz w:val="28"/>
          <w:szCs w:val="28"/>
          <w:highlight w:val="none"/>
        </w:rPr>
      </w:r>
      <w:r/>
    </w:p>
    <w:p>
      <w:pPr>
        <w:spacing w:line="400" w:lineRule="exact"/>
        <w:rPr>
          <w:rFonts w:hint="eastAsia" w:eastAsia="黑体"/>
          <w:bCs/>
          <w:color w:val="auto"/>
          <w:sz w:val="24"/>
          <w:szCs w:val="24"/>
          <w:highlight w:val="none"/>
          <w:lang w:eastAsia="zh-CN"/>
        </w:rPr>
      </w:pPr>
      <w:r>
        <w:rPr>
          <w:rFonts w:eastAsia="黑体"/>
          <w:bCs/>
          <w:color w:val="auto"/>
          <w:sz w:val="24"/>
          <w:szCs w:val="24"/>
          <w:highlight w:val="none"/>
        </w:rPr>
        <w:t xml:space="preserve">投标供应商名称（盖章）          采购项目编号：</w:t>
      </w:r>
      <w:r>
        <w:rPr>
          <w:rFonts w:hint="eastAsia" w:eastAsia="黑体"/>
          <w:bCs/>
          <w:color w:val="auto"/>
          <w:sz w:val="24"/>
          <w:szCs w:val="24"/>
          <w:highlight w:val="none"/>
          <w:lang w:eastAsia="zh-CN"/>
        </w:rPr>
        <w:t xml:space="preserve">JSZC-320211-BJZC-G2026-0007</w:t>
      </w:r>
      <w:r/>
    </w:p>
    <w:tbl>
      <w:tblPr>
        <w:tblStyle w:val="711"/>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
                <w:bCs/>
                <w:color w:val="auto"/>
                <w:sz w:val="24"/>
                <w:szCs w:val="24"/>
                <w:highlight w:val="none"/>
              </w:rPr>
            </w:pPr>
            <w:r>
              <w:rPr>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bCs/>
                <w:color w:val="auto"/>
                <w:highlight w:val="none"/>
              </w:rPr>
            </w:pPr>
            <w:r>
              <w:rPr>
                <w:bCs/>
                <w:color w:val="auto"/>
                <w:highlight w:val="none"/>
              </w:rPr>
            </w:r>
            <w:r/>
          </w:p>
        </w:tc>
      </w:tr>
    </w:tbl>
    <w:p>
      <w:pPr>
        <w:rPr>
          <w:b/>
          <w:color w:val="auto"/>
          <w:sz w:val="24"/>
          <w:szCs w:val="24"/>
          <w:highlight w:val="none"/>
        </w:rPr>
      </w:pPr>
      <w:r>
        <w:rPr>
          <w:b/>
          <w:color w:val="auto"/>
          <w:sz w:val="24"/>
          <w:szCs w:val="24"/>
          <w:highlight w:val="none"/>
        </w:rPr>
      </w:r>
      <w:r/>
    </w:p>
    <w:p>
      <w:pPr>
        <w:rPr>
          <w:b/>
          <w:bCs/>
          <w:color w:val="auto"/>
          <w:sz w:val="24"/>
          <w:szCs w:val="24"/>
          <w:highlight w:val="none"/>
        </w:rPr>
      </w:pPr>
      <w:r>
        <w:rPr>
          <w:b/>
          <w:bCs/>
          <w:color w:val="auto"/>
          <w:sz w:val="24"/>
          <w:szCs w:val="24"/>
          <w:highlight w:val="none"/>
        </w:rPr>
        <w:t xml:space="preserve">法定代表人或法定代表人授权代表签字或盖章：</w:t>
      </w:r>
      <w:r/>
    </w:p>
    <w:p>
      <w:pPr>
        <w:rPr>
          <w:bCs/>
          <w:color w:val="auto"/>
          <w:sz w:val="30"/>
          <w:highlight w:val="none"/>
        </w:rPr>
      </w:pPr>
      <w:r>
        <w:rPr>
          <w:bCs/>
          <w:color w:val="auto"/>
          <w:sz w:val="30"/>
          <w:highlight w:val="none"/>
        </w:rPr>
      </w:r>
      <w:r/>
    </w:p>
    <w:p>
      <w:pPr>
        <w:rPr>
          <w:bCs/>
          <w:color w:val="auto"/>
          <w:sz w:val="24"/>
          <w:szCs w:val="24"/>
          <w:highlight w:val="none"/>
        </w:rPr>
        <w:outlineLvl w:val="9"/>
      </w:pPr>
      <w:r>
        <w:rPr>
          <w:bCs/>
          <w:color w:val="auto"/>
          <w:sz w:val="24"/>
          <w:szCs w:val="24"/>
          <w:highlight w:val="none"/>
        </w:rPr>
        <w:t xml:space="preserve">注：（1）本表不得删除；</w:t>
      </w:r>
      <w:r/>
    </w:p>
    <w:p>
      <w:pPr>
        <w:rPr>
          <w:bCs/>
          <w:color w:val="auto"/>
          <w:sz w:val="24"/>
          <w:szCs w:val="24"/>
          <w:highlight w:val="none"/>
        </w:rPr>
        <w:outlineLvl w:val="9"/>
      </w:pPr>
      <w:r>
        <w:rPr>
          <w:bCs/>
          <w:color w:val="auto"/>
          <w:sz w:val="24"/>
          <w:szCs w:val="24"/>
          <w:highlight w:val="none"/>
        </w:rPr>
        <w:t xml:space="preserve">   （2）如无任何服务偏离，请于本表 “偏离说明”中注明“无偏离”；</w:t>
      </w:r>
      <w:r/>
    </w:p>
    <w:p>
      <w:pPr>
        <w:rPr>
          <w:bCs/>
          <w:color w:val="auto"/>
          <w:sz w:val="24"/>
          <w:szCs w:val="24"/>
          <w:highlight w:val="none"/>
        </w:rPr>
        <w:outlineLvl w:val="9"/>
      </w:pPr>
      <w:r>
        <w:rPr>
          <w:bCs/>
          <w:color w:val="auto"/>
          <w:sz w:val="24"/>
          <w:szCs w:val="24"/>
          <w:highlight w:val="none"/>
        </w:rPr>
        <w:t xml:space="preserve">   （3）如有服务偏离项，请于本表中列明偏离内容，如需要可自行延长，其余无偏离内容不须赘述。</w:t>
      </w:r>
      <w:r/>
    </w:p>
    <w:p>
      <w:pPr>
        <w:ind w:firstLine="42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rFonts w:eastAsia="黑体"/>
          <w:bCs/>
          <w:color w:val="auto"/>
          <w:sz w:val="24"/>
          <w:szCs w:val="24"/>
          <w:highlight w:val="none"/>
        </w:rPr>
      </w:r>
      <w:r/>
    </w:p>
    <w:p>
      <w:pPr>
        <w:ind w:firstLine="420"/>
        <w:rPr>
          <w:rFonts w:hint="eastAsia" w:eastAsia="黑体"/>
          <w:bCs/>
          <w:color w:val="auto"/>
          <w:sz w:val="24"/>
          <w:szCs w:val="24"/>
          <w:highlight w:val="none"/>
          <w:lang w:val="en-US" w:eastAsia="zh-CN"/>
        </w:rPr>
      </w:pPr>
      <w:r>
        <w:rPr>
          <w:rFonts w:eastAsia="黑体"/>
          <w:bCs/>
          <w:color w:val="auto"/>
          <w:sz w:val="24"/>
          <w:szCs w:val="24"/>
          <w:highlight w:val="none"/>
        </w:rPr>
        <w:br w:type="page" w:clear="all"/>
      </w:r>
      <w:r>
        <w:rPr>
          <w:rFonts w:hint="eastAsia" w:eastAsia="黑体"/>
          <w:bCs/>
          <w:color w:val="auto"/>
          <w:sz w:val="24"/>
          <w:szCs w:val="24"/>
          <w:highlight w:val="none"/>
          <w:lang w:val="en-US" w:eastAsia="zh-CN"/>
        </w:rPr>
        <w:t xml:space="preserve">（十六）投标报价汇总表（格式）</w:t>
      </w:r>
      <w:r/>
    </w:p>
    <w:p>
      <w:pPr>
        <w:ind w:firstLine="420"/>
        <w:rPr>
          <w:rFonts w:hint="eastAsia" w:eastAsia="黑体"/>
          <w:bCs/>
          <w:color w:val="auto"/>
          <w:sz w:val="24"/>
          <w:szCs w:val="24"/>
          <w:highlight w:val="none"/>
          <w:lang w:val="en-US" w:eastAsia="zh-CN"/>
        </w:rPr>
      </w:pPr>
      <w:r>
        <w:rPr>
          <w:rFonts w:hint="eastAsia" w:eastAsia="黑体"/>
          <w:bCs/>
          <w:color w:val="auto"/>
          <w:sz w:val="24"/>
          <w:szCs w:val="24"/>
          <w:highlight w:val="none"/>
          <w:lang w:val="en-US" w:eastAsia="zh-CN"/>
        </w:rPr>
      </w:r>
      <w:r/>
    </w:p>
    <w:p>
      <w:pPr>
        <w:ind w:left="1001"/>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bCs/>
          <w:color w:val="auto"/>
          <w:sz w:val="28"/>
          <w:szCs w:val="28"/>
          <w:highlight w:val="none"/>
        </w:rPr>
        <w:t xml:space="preserve">投标报价汇总表</w:t>
      </w:r>
      <w:r/>
    </w:p>
    <w:tbl>
      <w:tblPr>
        <w:tblStyle w:val="711"/>
        <w:tblW w:w="9913" w:type="dxa"/>
        <w:jc w:val="center"/>
        <w:tblLayout w:type="autofit"/>
        <w:tblCellMar>
          <w:left w:w="108" w:type="dxa"/>
          <w:top w:w="0" w:type="dxa"/>
          <w:right w:w="108" w:type="dxa"/>
          <w:bottom w:w="0" w:type="dxa"/>
        </w:tblCellMar>
        <w:tblLook w:val="04A0" w:firstRow="1" w:lastRow="0" w:firstColumn="1" w:lastColumn="0" w:noHBand="0" w:noVBand="1"/>
      </w:tblPr>
      <w:tblGrid>
        <w:gridCol w:w="699"/>
        <w:gridCol w:w="1276"/>
        <w:gridCol w:w="1616"/>
        <w:gridCol w:w="1361"/>
        <w:gridCol w:w="2749"/>
        <w:gridCol w:w="2212"/>
      </w:tblGrid>
      <w:tr>
        <w:trPr>
          <w:jc w:val="center"/>
          <w:trHeight w:val="660"/>
        </w:trPr>
        <w:tc>
          <w:tcPr>
            <w:gridSpan w:val="2"/>
            <w:tcBorders>
              <w:top w:val="single" w:color="auto" w:sz="8" w:space="0"/>
              <w:left w:val="single" w:color="auto" w:sz="8" w:space="0"/>
              <w:bottom w:val="single" w:color="auto" w:sz="4" w:space="0"/>
              <w:right w:val="single" w:color="auto" w:sz="4" w:space="0"/>
            </w:tcBorders>
            <w:tcW w:w="1975" w:type="dxa"/>
            <w:vAlign w:val="center"/>
            <w:textDirection w:val="lrTb"/>
            <w:noWrap w:val="false"/>
          </w:tcPr>
          <w:p>
            <w:pPr>
              <w:jc w:val="center"/>
              <w:widowControl/>
              <w:rPr>
                <w:rFonts w:hint="default"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项目名称</w:t>
            </w:r>
            <w:r/>
          </w:p>
        </w:tc>
        <w:tc>
          <w:tcPr>
            <w:gridSpan w:val="4"/>
            <w:tcBorders>
              <w:top w:val="single" w:color="auto" w:sz="8" w:space="0"/>
              <w:left w:val="none" w:color="000000" w:sz="4" w:space="0"/>
              <w:bottom w:val="single" w:color="auto" w:sz="4" w:space="0"/>
              <w:right w:val="single" w:color="000000" w:sz="8" w:space="0"/>
            </w:tcBorders>
            <w:tcW w:w="7938"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lang w:val="en-US" w:eastAsia="zh-CN"/>
              </w:rPr>
              <w:t xml:space="preserve">    </w:t>
            </w:r>
            <w:r>
              <w:rPr>
                <w:rFonts w:hint="eastAsia" w:ascii="宋体" w:hAnsi="宋体" w:eastAsia="宋体" w:cs="黑体"/>
                <w:color w:val="auto"/>
                <w:sz w:val="22"/>
                <w:szCs w:val="22"/>
                <w:highlight w:val="none"/>
              </w:rPr>
              <w:t xml:space="preserve">项目</w:t>
            </w:r>
            <w:r/>
          </w:p>
        </w:tc>
      </w:tr>
      <w:tr>
        <w:trPr>
          <w:jc w:val="center"/>
          <w:trHeight w:val="679"/>
        </w:trPr>
        <w:tc>
          <w:tcPr>
            <w:gridSpan w:val="2"/>
            <w:tcBorders>
              <w:top w:val="single" w:color="auto" w:sz="4" w:space="0"/>
              <w:left w:val="single" w:color="auto" w:sz="8"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采购编号</w:t>
            </w:r>
            <w:r/>
          </w:p>
        </w:tc>
        <w:tc>
          <w:tcPr>
            <w:gridSpan w:val="4"/>
            <w:tcBorders>
              <w:top w:val="single" w:color="auto" w:sz="4" w:space="0"/>
              <w:left w:val="none" w:color="000000" w:sz="4" w:space="0"/>
              <w:bottom w:val="single" w:color="auto" w:sz="4" w:space="0"/>
              <w:right w:val="single" w:color="000000" w:sz="8" w:space="0"/>
            </w:tcBorders>
            <w:tcW w:w="7938" w:type="dxa"/>
            <w:vAlign w:val="center"/>
            <w:textDirection w:val="lrTb"/>
            <w:noWrap/>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r>
            <w:r/>
          </w:p>
        </w:tc>
      </w:tr>
      <w:tr>
        <w:trPr>
          <w:jc w:val="center"/>
          <w:trHeight w:val="1155"/>
        </w:trPr>
        <w:tc>
          <w:tcPr>
            <w:tcBorders>
              <w:top w:val="none" w:color="000000" w:sz="4" w:space="0"/>
              <w:left w:val="single" w:color="auto" w:sz="8" w:space="0"/>
              <w:bottom w:val="single" w:color="auto" w:sz="4" w:space="0"/>
              <w:right w:val="single" w:color="auto" w:sz="4" w:space="0"/>
            </w:tcBorders>
            <w:tcW w:w="699" w:type="dxa"/>
            <w:vAlign w:val="center"/>
            <w:textDirection w:val="lrTb"/>
            <w:noWrap w:val="false"/>
          </w:tcPr>
          <w:p>
            <w:pPr>
              <w:jc w:val="center"/>
              <w:widowControl/>
              <w:rPr>
                <w:rFonts w:hint="eastAsia" w:ascii="宋体" w:hAnsi="宋体" w:eastAsia="宋体" w:cs="黑体"/>
                <w:color w:val="auto"/>
                <w:sz w:val="22"/>
                <w:szCs w:val="22"/>
                <w:highlight w:val="none"/>
                <w:lang w:eastAsia="zh-CN"/>
              </w:rPr>
            </w:pPr>
            <w:r>
              <w:rPr>
                <w:rFonts w:hint="eastAsia" w:ascii="宋体" w:hAnsi="宋体" w:eastAsia="宋体" w:cs="黑体"/>
                <w:color w:val="auto"/>
                <w:sz w:val="22"/>
                <w:szCs w:val="22"/>
                <w:highlight w:val="none"/>
                <w:lang w:val="en-US" w:eastAsia="zh-CN"/>
              </w:rPr>
              <w:t xml:space="preserve">序号</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路段</w:t>
            </w:r>
            <w:r/>
          </w:p>
        </w:tc>
        <w:tc>
          <w:tcPr>
            <w:tcBorders>
              <w:top w:val="none" w:color="000000" w:sz="4" w:space="0"/>
              <w:left w:val="none" w:color="000000" w:sz="4" w:space="0"/>
              <w:bottom w:val="single" w:color="auto" w:sz="4" w:space="0"/>
              <w:right w:val="single" w:color="auto" w:sz="4" w:space="0"/>
            </w:tcBorders>
            <w:tcW w:w="1616"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范围</w:t>
            </w:r>
            <w:r/>
          </w:p>
        </w:tc>
        <w:tc>
          <w:tcPr>
            <w:tcBorders>
              <w:top w:val="none" w:color="000000" w:sz="4" w:space="0"/>
              <w:left w:val="none" w:color="000000" w:sz="4" w:space="0"/>
              <w:bottom w:val="single" w:color="auto" w:sz="4" w:space="0"/>
              <w:right w:val="single" w:color="auto" w:sz="4" w:space="0"/>
            </w:tcBorders>
            <w:tcW w:w="1361"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养护期（年）</w:t>
            </w:r>
            <w:r/>
          </w:p>
        </w:tc>
        <w:tc>
          <w:tcPr>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jc w:val="center"/>
              <w:widowControl/>
              <w:rPr>
                <w:rFonts w:hint="default"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年度养护费用报价</w:t>
            </w:r>
            <w:r/>
          </w:p>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（元/年）</w:t>
            </w:r>
            <w:r/>
          </w:p>
        </w:tc>
        <w:tc>
          <w:tcPr>
            <w:tcBorders>
              <w:top w:val="none" w:color="000000" w:sz="4" w:space="0"/>
              <w:left w:val="single" w:color="auto" w:sz="4" w:space="0"/>
              <w:bottom w:val="single" w:color="auto" w:sz="4" w:space="0"/>
              <w:right w:val="single" w:color="auto" w:sz="8" w:space="0"/>
            </w:tcBorders>
            <w:tcW w:w="2212"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养护期内养护费用总价=年度养护费用报价*养护期（元）</w:t>
            </w:r>
            <w:r/>
          </w:p>
        </w:tc>
      </w:tr>
      <w:tr>
        <w:trPr>
          <w:jc w:val="center"/>
          <w:trHeight w:val="522"/>
        </w:trPr>
        <w:tc>
          <w:tcPr>
            <w:tcBorders>
              <w:top w:val="none" w:color="000000" w:sz="4" w:space="0"/>
              <w:left w:val="single" w:color="auto" w:sz="8"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r>
            <w:r/>
          </w:p>
        </w:tc>
        <w:tc>
          <w:tcPr>
            <w:tcBorders>
              <w:top w:val="none" w:color="000000" w:sz="4" w:space="0"/>
              <w:left w:val="none" w:color="000000" w:sz="4" w:space="0"/>
              <w:bottom w:val="single" w:color="auto" w:sz="4" w:space="0"/>
              <w:right w:val="single" w:color="auto" w:sz="4" w:space="0"/>
            </w:tcBorders>
            <w:tcW w:w="1616" w:type="dxa"/>
            <w:vAlign w:val="center"/>
            <w:textDirection w:val="lrTb"/>
            <w:noWrap w:val="false"/>
          </w:tcPr>
          <w:p>
            <w:pPr>
              <w:jc w:val="left"/>
              <w:widowControl/>
              <w:rPr>
                <w:rFonts w:hint="eastAsia" w:ascii="宋体" w:hAnsi="宋体" w:eastAsia="宋体" w:cs="黑体"/>
                <w:color w:val="auto"/>
                <w:sz w:val="20"/>
                <w:szCs w:val="20"/>
                <w:highlight w:val="none"/>
              </w:rPr>
            </w:pPr>
            <w:r>
              <w:rPr>
                <w:rFonts w:hint="eastAsia" w:ascii="宋体" w:hAnsi="宋体" w:eastAsia="宋体" w:cs="黑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361"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749" w:type="dxa"/>
            <w:vAlign w:val="center"/>
            <w:textDirection w:val="lrTb"/>
            <w:noWrap/>
          </w:tcPr>
          <w:p>
            <w:pPr>
              <w:jc w:val="left"/>
              <w:widowControl/>
              <w:rPr>
                <w:rFonts w:hint="default"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　</w:t>
            </w:r>
            <w:r/>
          </w:p>
          <w:p>
            <w:pPr>
              <w:jc w:val="left"/>
              <w:widowControl/>
              <w:rPr>
                <w:rFonts w:hint="eastAsia"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　</w:t>
            </w:r>
            <w:r/>
          </w:p>
        </w:tc>
        <w:tc>
          <w:tcPr>
            <w:tcBorders>
              <w:top w:val="none" w:color="000000" w:sz="4" w:space="0"/>
              <w:left w:val="single" w:color="auto" w:sz="4" w:space="0"/>
              <w:bottom w:val="single" w:color="auto" w:sz="4" w:space="0"/>
              <w:right w:val="single" w:color="auto" w:sz="8" w:space="0"/>
            </w:tcBorders>
            <w:tcW w:w="2212" w:type="dxa"/>
            <w:vAlign w:val="center"/>
            <w:textDirection w:val="lrTb"/>
            <w:noWrap/>
          </w:tcPr>
          <w:p>
            <w:pPr>
              <w:jc w:val="left"/>
              <w:widowControl/>
              <w:rPr>
                <w:rFonts w:hint="eastAsia"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　</w:t>
            </w:r>
            <w:r/>
          </w:p>
        </w:tc>
      </w:tr>
      <w:tr>
        <w:trPr>
          <w:jc w:val="center"/>
          <w:trHeight w:val="522"/>
        </w:trPr>
        <w:tc>
          <w:tcPr>
            <w:tcBorders>
              <w:top w:val="none" w:color="000000" w:sz="4" w:space="0"/>
              <w:left w:val="single" w:color="auto" w:sz="8"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w:t>
            </w:r>
            <w:r/>
          </w:p>
        </w:tc>
        <w:tc>
          <w:tcPr>
            <w:tcBorders>
              <w:top w:val="none" w:color="000000" w:sz="4" w:space="0"/>
              <w:left w:val="none" w:color="000000" w:sz="4" w:space="0"/>
              <w:bottom w:val="single" w:color="auto" w:sz="4" w:space="0"/>
              <w:right w:val="single" w:color="auto" w:sz="4" w:space="0"/>
            </w:tcBorders>
            <w:tcW w:w="1616" w:type="dxa"/>
            <w:vAlign w:val="center"/>
            <w:textDirection w:val="lrTb"/>
            <w:noWrap w:val="false"/>
          </w:tcPr>
          <w:p>
            <w:pPr>
              <w:jc w:val="left"/>
              <w:widowControl/>
              <w:rPr>
                <w:rFonts w:hint="eastAsia" w:ascii="宋体" w:hAnsi="宋体" w:eastAsia="宋体" w:cs="黑体"/>
                <w:color w:val="auto"/>
                <w:sz w:val="20"/>
                <w:szCs w:val="20"/>
                <w:highlight w:val="none"/>
              </w:rPr>
            </w:pPr>
            <w:r>
              <w:rPr>
                <w:rFonts w:hint="eastAsia" w:ascii="宋体" w:hAnsi="宋体" w:eastAsia="宋体" w:cs="黑体"/>
                <w:color w:val="auto"/>
                <w:sz w:val="22"/>
                <w:szCs w:val="22"/>
                <w:highlight w:val="none"/>
              </w:rPr>
              <w:t xml:space="preserve">……</w:t>
            </w:r>
            <w:r/>
          </w:p>
        </w:tc>
        <w:tc>
          <w:tcPr>
            <w:tcBorders>
              <w:top w:val="none" w:color="000000" w:sz="4" w:space="0"/>
              <w:left w:val="none" w:color="000000" w:sz="4" w:space="0"/>
              <w:bottom w:val="single" w:color="auto" w:sz="4" w:space="0"/>
              <w:right w:val="single" w:color="auto" w:sz="4" w:space="0"/>
            </w:tcBorders>
            <w:tcW w:w="1361" w:type="dxa"/>
            <w:vAlign w:val="center"/>
            <w:textDirection w:val="lrTb"/>
            <w:noWrap w:val="false"/>
          </w:tcPr>
          <w:p>
            <w:pPr>
              <w:jc w:val="center"/>
              <w:widowControl/>
              <w:rPr>
                <w:rFonts w:hint="eastAsia" w:ascii="宋体" w:hAnsi="宋体" w:eastAsia="宋体" w:cs="黑体"/>
                <w:color w:val="auto"/>
                <w:sz w:val="22"/>
                <w:szCs w:val="22"/>
                <w:highlight w:val="none"/>
              </w:rPr>
            </w:pPr>
            <w:r>
              <w:rPr>
                <w:rFonts w:hint="eastAsia" w:ascii="宋体" w:hAnsi="宋体" w:eastAsia="宋体" w:cs="黑体"/>
                <w:color w:val="auto"/>
                <w:sz w:val="22"/>
                <w:szCs w:val="22"/>
                <w:highlight w:val="none"/>
              </w:rPr>
              <w:t xml:space="preserve">……</w:t>
            </w:r>
            <w:r/>
          </w:p>
        </w:tc>
        <w:tc>
          <w:tcPr>
            <w:tcBorders>
              <w:top w:val="none" w:color="000000" w:sz="4" w:space="0"/>
              <w:left w:val="none" w:color="000000" w:sz="4" w:space="0"/>
              <w:bottom w:val="single" w:color="auto" w:sz="4" w:space="0"/>
              <w:right w:val="single" w:color="auto" w:sz="4" w:space="0"/>
            </w:tcBorders>
            <w:tcW w:w="2749" w:type="dxa"/>
            <w:vAlign w:val="center"/>
            <w:textDirection w:val="lrTb"/>
            <w:noWrap/>
          </w:tcPr>
          <w:p>
            <w:pPr>
              <w:jc w:val="left"/>
              <w:widowControl/>
              <w:rPr>
                <w:rFonts w:hint="eastAsia" w:ascii="宋体" w:hAnsi="宋体" w:eastAsia="宋体" w:cs="黑体"/>
                <w:color w:val="auto"/>
                <w:sz w:val="24"/>
                <w:szCs w:val="24"/>
                <w:highlight w:val="none"/>
              </w:rPr>
            </w:pPr>
            <w:r>
              <w:rPr>
                <w:rFonts w:hint="eastAsia" w:ascii="宋体" w:hAnsi="宋体" w:eastAsia="宋体" w:cs="黑体"/>
                <w:color w:val="auto"/>
                <w:sz w:val="24"/>
                <w:szCs w:val="24"/>
                <w:highlight w:val="none"/>
              </w:rPr>
              <w:t xml:space="preserve"> </w:t>
            </w:r>
            <w:r>
              <w:rPr>
                <w:rFonts w:hint="eastAsia" w:ascii="宋体" w:hAnsi="宋体" w:eastAsia="宋体" w:cs="黑体"/>
                <w:color w:val="auto"/>
                <w:sz w:val="22"/>
                <w:szCs w:val="22"/>
                <w:highlight w:val="none"/>
              </w:rPr>
              <w:t xml:space="preserve">……</w:t>
            </w:r>
            <w:r/>
          </w:p>
        </w:tc>
        <w:tc>
          <w:tcPr>
            <w:tcBorders>
              <w:top w:val="none" w:color="000000" w:sz="4" w:space="0"/>
              <w:left w:val="single" w:color="auto" w:sz="4" w:space="0"/>
              <w:bottom w:val="single" w:color="auto" w:sz="4" w:space="0"/>
              <w:right w:val="single" w:color="auto" w:sz="8" w:space="0"/>
            </w:tcBorders>
            <w:tcW w:w="2212" w:type="dxa"/>
            <w:vAlign w:val="center"/>
            <w:textDirection w:val="lrTb"/>
            <w:noWrap/>
          </w:tcPr>
          <w:p>
            <w:pPr>
              <w:jc w:val="left"/>
              <w:widowControl/>
              <w:rPr>
                <w:rFonts w:hint="eastAsia" w:ascii="宋体" w:hAnsi="宋体" w:eastAsia="宋体" w:cs="黑体"/>
                <w:color w:val="auto"/>
                <w:sz w:val="24"/>
                <w:szCs w:val="24"/>
                <w:highlight w:val="none"/>
              </w:rPr>
            </w:pPr>
            <w:r>
              <w:rPr>
                <w:rFonts w:hint="eastAsia" w:ascii="宋体" w:hAnsi="宋体" w:eastAsia="宋体" w:cs="黑体"/>
                <w:color w:val="auto"/>
                <w:sz w:val="22"/>
                <w:szCs w:val="22"/>
                <w:highlight w:val="none"/>
              </w:rPr>
              <w:t xml:space="preserve">……</w:t>
            </w:r>
            <w:r/>
          </w:p>
        </w:tc>
      </w:tr>
      <w:tr>
        <w:trPr>
          <w:jc w:val="center"/>
          <w:trHeight w:val="522"/>
        </w:trPr>
        <w:tc>
          <w:tcPr>
            <w:gridSpan w:val="4"/>
            <w:tcBorders>
              <w:top w:val="single" w:color="auto" w:sz="4" w:space="0"/>
              <w:left w:val="single" w:color="auto" w:sz="8" w:space="0"/>
              <w:bottom w:val="single" w:color="auto" w:sz="4" w:space="0"/>
              <w:right w:val="single" w:color="000000" w:sz="4" w:space="0"/>
            </w:tcBorders>
            <w:tcW w:w="4952" w:type="dxa"/>
            <w:vAlign w:val="center"/>
            <w:textDirection w:val="lrTb"/>
            <w:noWrap/>
          </w:tcPr>
          <w:p>
            <w:pPr>
              <w:jc w:val="center"/>
              <w:widowControl/>
              <w:rPr>
                <w:rFonts w:hint="eastAsia" w:ascii="宋体" w:hAnsi="宋体" w:eastAsia="宋体" w:cs="黑体"/>
                <w:b/>
                <w:bCs/>
                <w:color w:val="auto"/>
                <w:sz w:val="22"/>
                <w:szCs w:val="22"/>
                <w:highlight w:val="none"/>
              </w:rPr>
            </w:pPr>
            <w:r>
              <w:rPr>
                <w:rFonts w:hint="eastAsia" w:ascii="宋体" w:hAnsi="宋体" w:eastAsia="宋体" w:cs="黑体"/>
                <w:b/>
                <w:bCs/>
                <w:color w:val="auto"/>
                <w:sz w:val="22"/>
                <w:szCs w:val="22"/>
                <w:highlight w:val="none"/>
              </w:rPr>
              <w:t xml:space="preserve">小计</w:t>
            </w:r>
            <w:r/>
          </w:p>
        </w:tc>
        <w:tc>
          <w:tcPr>
            <w:tcBorders>
              <w:top w:val="none" w:color="000000" w:sz="4" w:space="0"/>
              <w:left w:val="none" w:color="000000" w:sz="4" w:space="0"/>
              <w:bottom w:val="single" w:color="auto" w:sz="4" w:space="0"/>
              <w:right w:val="single" w:color="auto" w:sz="4" w:space="0"/>
            </w:tcBorders>
            <w:tcW w:w="2749" w:type="dxa"/>
            <w:vAlign w:val="center"/>
            <w:textDirection w:val="lrTb"/>
            <w:noWrap/>
          </w:tcPr>
          <w:p>
            <w:pPr>
              <w:jc w:val="left"/>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　</w:t>
            </w:r>
            <w:r/>
          </w:p>
          <w:p>
            <w:pPr>
              <w:jc w:val="left"/>
              <w:widowControl/>
              <w:rPr>
                <w:rFonts w:hint="eastAsia"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　</w:t>
            </w:r>
            <w:r/>
          </w:p>
        </w:tc>
        <w:tc>
          <w:tcPr>
            <w:tcBorders>
              <w:top w:val="none" w:color="000000" w:sz="4" w:space="0"/>
              <w:left w:val="single" w:color="auto" w:sz="4" w:space="0"/>
              <w:bottom w:val="single" w:color="auto" w:sz="4" w:space="0"/>
              <w:right w:val="single" w:color="auto" w:sz="8" w:space="0"/>
            </w:tcBorders>
            <w:tcW w:w="2212" w:type="dxa"/>
            <w:vAlign w:val="center"/>
            <w:textDirection w:val="lrTb"/>
            <w:noWrap/>
          </w:tcPr>
          <w:p>
            <w:pPr>
              <w:jc w:val="left"/>
              <w:widowControl/>
              <w:rPr>
                <w:rFonts w:hint="eastAsia"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　</w:t>
            </w:r>
            <w:r/>
          </w:p>
        </w:tc>
      </w:tr>
      <w:tr>
        <w:trPr>
          <w:jc w:val="center"/>
          <w:trHeight w:val="799"/>
        </w:trPr>
        <w:tc>
          <w:tcPr>
            <w:gridSpan w:val="4"/>
            <w:tcBorders>
              <w:top w:val="single" w:color="auto" w:sz="4" w:space="0"/>
              <w:left w:val="single" w:color="auto" w:sz="8" w:space="0"/>
              <w:bottom w:val="single" w:color="auto" w:sz="4" w:space="0"/>
              <w:right w:val="single" w:color="000000" w:sz="4" w:space="0"/>
            </w:tcBorders>
            <w:tcW w:w="4952" w:type="dxa"/>
            <w:vAlign w:val="center"/>
            <w:textDirection w:val="lrTb"/>
            <w:noWrap/>
          </w:tcPr>
          <w:p>
            <w:pPr>
              <w:jc w:val="center"/>
              <w:widowControl/>
              <w:rPr>
                <w:rFonts w:hint="eastAsia" w:ascii="宋体" w:hAnsi="宋体" w:eastAsia="宋体" w:cs="黑体"/>
                <w:b/>
                <w:bCs/>
                <w:color w:val="auto"/>
                <w:sz w:val="22"/>
                <w:szCs w:val="22"/>
                <w:highlight w:val="none"/>
              </w:rPr>
            </w:pPr>
            <w:r>
              <w:rPr>
                <w:rFonts w:hint="eastAsia" w:ascii="宋体" w:hAnsi="宋体" w:eastAsia="宋体" w:cs="黑体"/>
                <w:b/>
                <w:bCs/>
                <w:color w:val="auto"/>
                <w:sz w:val="22"/>
                <w:szCs w:val="22"/>
                <w:highlight w:val="none"/>
              </w:rPr>
              <w:t xml:space="preserve">合计（养护期限）</w:t>
            </w:r>
            <w:r/>
          </w:p>
        </w:tc>
        <w:tc>
          <w:tcPr>
            <w:tcBorders>
              <w:top w:val="none" w:color="000000" w:sz="4" w:space="0"/>
              <w:left w:val="none" w:color="000000" w:sz="4" w:space="0"/>
              <w:bottom w:val="single" w:color="auto" w:sz="4" w:space="0"/>
              <w:right w:val="single" w:color="auto" w:sz="4" w:space="0"/>
            </w:tcBorders>
            <w:tcW w:w="2749" w:type="dxa"/>
            <w:vAlign w:val="center"/>
            <w:textDirection w:val="lrTb"/>
            <w:noWrap/>
          </w:tcPr>
          <w:p>
            <w:pPr>
              <w:jc w:val="left"/>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　</w:t>
            </w:r>
            <w:r/>
          </w:p>
          <w:p>
            <w:pPr>
              <w:jc w:val="left"/>
              <w:widowControl/>
              <w:rPr>
                <w:rFonts w:hint="eastAsia"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2212" w:type="dxa"/>
            <w:vAlign w:val="center"/>
            <w:textDirection w:val="lrTb"/>
            <w:noWrap/>
          </w:tcPr>
          <w:p>
            <w:pPr>
              <w:jc w:val="left"/>
              <w:widowControl/>
              <w:rPr>
                <w:rFonts w:hint="eastAsia"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　</w:t>
            </w:r>
            <w:r/>
          </w:p>
        </w:tc>
      </w:tr>
    </w:tbl>
    <w:p>
      <w:pPr>
        <w:spacing w:line="30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0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投标供应商（公章）</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spacing w:line="30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0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法定代表人或授权委托人（签字或盖章）</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spacing w:line="30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r>
      <w:r/>
    </w:p>
    <w:p>
      <w:pPr>
        <w:spacing w:line="300" w:lineRule="auto"/>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rPr>
          <w:rFonts w:hint="eastAsia" w:ascii="宋体" w:hAnsi="宋体" w:eastAsia="宋体" w:cs="Times New Roman"/>
          <w:color w:val="auto"/>
          <w:szCs w:val="24"/>
          <w:highlight w:val="none"/>
          <w:u w:val="single"/>
        </w:rPr>
        <w:t xml:space="preserve">    </w:t>
      </w:r>
      <w:r>
        <w:rPr>
          <w:rFonts w:hint="eastAsia" w:ascii="宋体" w:hAnsi="宋体" w:eastAsia="宋体" w:cs="Times New Roman"/>
          <w:color w:val="auto"/>
          <w:szCs w:val="24"/>
          <w:highlight w:val="none"/>
        </w:rPr>
        <w:t xml:space="preserve">年 </w:t>
      </w:r>
      <w:r>
        <w:rPr>
          <w:rFonts w:hint="eastAsia" w:ascii="宋体" w:hAnsi="宋体" w:eastAsia="宋体" w:cs="Times New Roman"/>
          <w:color w:val="auto"/>
          <w:szCs w:val="24"/>
          <w:highlight w:val="none"/>
          <w:u w:val="single"/>
        </w:rPr>
        <w:t xml:space="preserve">    </w:t>
      </w:r>
      <w:r>
        <w:rPr>
          <w:rFonts w:hint="eastAsia" w:ascii="宋体" w:hAnsi="宋体" w:eastAsia="宋体" w:cs="Times New Roman"/>
          <w:color w:val="auto"/>
          <w:szCs w:val="24"/>
          <w:highlight w:val="none"/>
        </w:rPr>
        <w:t xml:space="preserve">月</w:t>
      </w:r>
      <w:r>
        <w:rPr>
          <w:rFonts w:hint="eastAsia" w:ascii="宋体" w:hAnsi="宋体" w:eastAsia="宋体" w:cs="Times New Roman"/>
          <w:color w:val="auto"/>
          <w:szCs w:val="24"/>
          <w:highlight w:val="none"/>
          <w:u w:val="single"/>
        </w:rPr>
        <w:t xml:space="preserve">    </w:t>
      </w:r>
      <w:r>
        <w:rPr>
          <w:rFonts w:hint="eastAsia" w:ascii="宋体" w:hAnsi="宋体" w:eastAsia="宋体" w:cs="Times New Roman"/>
          <w:color w:val="auto"/>
          <w:szCs w:val="24"/>
          <w:highlight w:val="none"/>
        </w:rPr>
        <w:t xml:space="preserve"> 日</w:t>
      </w:r>
      <w:r/>
    </w:p>
    <w:p>
      <w:pPr>
        <w:spacing w:line="360" w:lineRule="auto"/>
        <w:rPr>
          <w:rFonts w:hint="default" w:ascii="宋体" w:hAnsi="宋体" w:eastAsia="宋体" w:cs="Times New Roman"/>
          <w:bCs/>
          <w:color w:val="auto"/>
          <w:sz w:val="22"/>
          <w:szCs w:val="22"/>
          <w:highlight w:val="none"/>
        </w:rPr>
      </w:pPr>
      <w:r>
        <w:rPr>
          <w:rFonts w:hint="default" w:ascii="宋体" w:hAnsi="宋体" w:eastAsia="宋体" w:cs="Times New Roman"/>
          <w:bCs/>
          <w:color w:val="auto"/>
          <w:sz w:val="22"/>
          <w:szCs w:val="22"/>
          <w:highlight w:val="none"/>
        </w:rPr>
      </w:r>
      <w:r/>
    </w:p>
    <w:p>
      <w:pPr>
        <w:ind w:firstLine="1200"/>
        <w:rPr>
          <w:rFonts w:hint="eastAsia" w:eastAsia="黑体"/>
          <w:bCs/>
          <w:color w:val="auto"/>
          <w:sz w:val="24"/>
          <w:szCs w:val="24"/>
          <w:highlight w:val="none"/>
          <w:lang w:val="en-US" w:eastAsia="zh-CN"/>
        </w:rPr>
      </w:pPr>
      <w:r>
        <w:rPr>
          <w:rFonts w:hint="eastAsia" w:eastAsia="黑体"/>
          <w:bCs/>
          <w:color w:val="auto"/>
          <w:sz w:val="24"/>
          <w:szCs w:val="24"/>
          <w:highlight w:val="none"/>
          <w:lang w:val="en-US" w:eastAsia="zh-CN"/>
        </w:rPr>
        <w:br w:type="page" w:clear="all"/>
      </w:r>
      <w:r/>
    </w:p>
    <w:p>
      <w:pPr>
        <w:ind w:firstLine="420"/>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（十七）报价合理性分析表（格式）</w:t>
      </w:r>
      <w:r/>
    </w:p>
    <w:p>
      <w:pPr>
        <w:ind w:firstLine="492"/>
        <w:jc w:val="center"/>
        <w:rPr>
          <w:rFonts w:hint="default" w:ascii="宋体" w:hAnsi="宋体" w:eastAsia="宋体" w:cs="Times New Roman"/>
          <w:b/>
          <w:bCs/>
          <w:color w:val="auto"/>
          <w:sz w:val="28"/>
          <w:szCs w:val="28"/>
          <w:highlight w:val="none"/>
        </w:rPr>
        <w:outlineLvl w:val="9"/>
      </w:pPr>
      <w:r>
        <w:rPr>
          <w:rFonts w:hint="eastAsia" w:ascii="宋体" w:hAnsi="宋体" w:eastAsia="宋体" w:cs="Times New Roman"/>
          <w:b/>
          <w:bCs/>
          <w:color w:val="auto"/>
          <w:sz w:val="28"/>
          <w:szCs w:val="28"/>
          <w:highlight w:val="none"/>
        </w:rPr>
        <w:t xml:space="preserve">报价合理性分析表</w:t>
      </w:r>
      <w:r/>
    </w:p>
    <w:p>
      <w:pPr>
        <w:ind w:firstLine="492"/>
        <w:jc w:val="center"/>
        <w:rPr>
          <w:rFonts w:hint="eastAsia" w:ascii="宋体" w:hAnsi="宋体" w:eastAsia="宋体" w:cs="Times New Roman"/>
          <w:b/>
          <w:bCs/>
          <w:color w:val="auto"/>
          <w:sz w:val="28"/>
          <w:szCs w:val="28"/>
          <w:highlight w:val="none"/>
        </w:rPr>
        <w:outlineLvl w:val="9"/>
      </w:pPr>
      <w:r>
        <w:rPr>
          <w:rFonts w:hint="eastAsia" w:ascii="宋体" w:hAnsi="宋体" w:eastAsia="宋体" w:cs="Times New Roman"/>
          <w:b/>
          <w:bCs/>
          <w:color w:val="auto"/>
          <w:sz w:val="28"/>
          <w:szCs w:val="28"/>
          <w:highlight w:val="none"/>
        </w:rPr>
      </w:r>
      <w:r/>
    </w:p>
    <w:tbl>
      <w:tblPr>
        <w:tblStyle w:val="711"/>
        <w:tblW w:w="0" w:type="auto"/>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58"/>
        <w:gridCol w:w="1132"/>
        <w:gridCol w:w="1276"/>
        <w:gridCol w:w="869"/>
        <w:gridCol w:w="4088"/>
      </w:tblGrid>
      <w:tr>
        <w:trPr/>
        <w:tc>
          <w:tcPr>
            <w:tcW w:w="735"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序号</w:t>
            </w:r>
            <w:r/>
          </w:p>
        </w:tc>
        <w:tc>
          <w:tcPr>
            <w:tcW w:w="195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内容</w:t>
            </w:r>
            <w:r/>
          </w:p>
        </w:tc>
        <w:tc>
          <w:tcPr>
            <w:tcW w:w="1132"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投入数量</w:t>
            </w:r>
            <w:r/>
          </w:p>
        </w:tc>
        <w:tc>
          <w:tcPr>
            <w:tcW w:w="1276"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人工工资</w:t>
            </w:r>
            <w:r/>
          </w:p>
        </w:tc>
        <w:tc>
          <w:tcPr>
            <w:tcW w:w="869"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合价</w:t>
            </w:r>
            <w:r/>
          </w:p>
        </w:tc>
        <w:tc>
          <w:tcPr>
            <w:tcW w:w="408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备注</w:t>
            </w:r>
            <w:r/>
          </w:p>
        </w:tc>
      </w:tr>
      <w:tr>
        <w:trPr/>
        <w:tc>
          <w:tcPr>
            <w:tcW w:w="735"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w:t>
            </w:r>
            <w:r/>
          </w:p>
        </w:tc>
        <w:tc>
          <w:tcPr>
            <w:tcW w:w="195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一、养护作业人员</w:t>
            </w:r>
            <w:r/>
          </w:p>
        </w:tc>
        <w:tc>
          <w:tcPr>
            <w:tcW w:w="1132" w:type="dxa"/>
            <w:vAlign w:val="top"/>
            <w:textDirection w:val="lrTb"/>
            <w:noWrap w:val="false"/>
          </w:tcPr>
          <w:p>
            <w:pPr>
              <w:jc w:val="center"/>
              <w:rPr>
                <w:rFonts w:hint="default" w:ascii="宋体" w:hAnsi="宋体" w:eastAsia="宋体" w:cs="Times New Roman"/>
                <w:color w:val="auto"/>
                <w:szCs w:val="24"/>
                <w:highlight w:val="none"/>
              </w:rPr>
            </w:pPr>
            <w:r>
              <w:rPr>
                <w:rFonts w:hint="default" w:ascii="宋体" w:hAnsi="宋体" w:eastAsia="宋体" w:cs="Times New Roman"/>
                <w:color w:val="auto"/>
                <w:szCs w:val="24"/>
                <w:highlight w:val="none"/>
              </w:rPr>
            </w:r>
            <w:r/>
          </w:p>
        </w:tc>
        <w:tc>
          <w:tcPr>
            <w:tcW w:w="1276" w:type="dxa"/>
            <w:vAlign w:val="top"/>
            <w:textDirection w:val="lrTb"/>
            <w:noWrap w:val="false"/>
          </w:tcPr>
          <w:p>
            <w:pPr>
              <w:jc w:val="center"/>
              <w:rPr>
                <w:rFonts w:hint="default" w:ascii="宋体" w:hAnsi="宋体" w:eastAsia="宋体" w:cs="Times New Roman"/>
                <w:color w:val="auto"/>
                <w:szCs w:val="24"/>
                <w:highlight w:val="none"/>
              </w:rPr>
            </w:pPr>
            <w:r>
              <w:rPr>
                <w:rFonts w:hint="default" w:ascii="宋体" w:hAnsi="宋体" w:eastAsia="宋体" w:cs="Times New Roman"/>
                <w:color w:val="auto"/>
                <w:szCs w:val="24"/>
                <w:highlight w:val="none"/>
              </w:rPr>
            </w:r>
            <w:r/>
          </w:p>
        </w:tc>
        <w:tc>
          <w:tcPr>
            <w:tcW w:w="869" w:type="dxa"/>
            <w:vAlign w:val="top"/>
            <w:textDirection w:val="lrTb"/>
            <w:noWrap w:val="false"/>
          </w:tcPr>
          <w:p>
            <w:pPr>
              <w:jc w:val="center"/>
              <w:rPr>
                <w:rFonts w:hint="default" w:ascii="宋体" w:hAnsi="宋体" w:eastAsia="宋体" w:cs="Times New Roman"/>
                <w:color w:val="auto"/>
                <w:szCs w:val="24"/>
                <w:highlight w:val="none"/>
              </w:rPr>
            </w:pPr>
            <w:r>
              <w:rPr>
                <w:rFonts w:hint="default" w:ascii="宋体" w:hAnsi="宋体" w:eastAsia="宋体" w:cs="Times New Roman"/>
                <w:color w:val="auto"/>
                <w:szCs w:val="24"/>
                <w:highlight w:val="none"/>
              </w:rPr>
            </w:r>
            <w:r/>
          </w:p>
        </w:tc>
        <w:tc>
          <w:tcPr>
            <w:tcW w:w="4088" w:type="dxa"/>
            <w:vAlign w:val="top"/>
            <w:textDirection w:val="lrTb"/>
            <w:noWrap w:val="false"/>
          </w:tcPr>
          <w:p>
            <w:pPr>
              <w:jc w:val="left"/>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lang w:eastAsia="zh-CN"/>
              </w:rPr>
              <w:t xml:space="preserve">1.</w:t>
            </w:r>
            <w:r>
              <w:rPr>
                <w:rFonts w:hint="eastAsia" w:ascii="宋体" w:hAnsi="宋体" w:eastAsia="宋体" w:cs="Times New Roman"/>
                <w:color w:val="auto"/>
                <w:szCs w:val="24"/>
                <w:highlight w:val="none"/>
              </w:rPr>
              <w:t xml:space="preserve">养护作业人员投入数量以养护作业人员投入计划一览表为准（含项目负责人），不得低于最低作业人员配置要求</w:t>
            </w:r>
            <w:r/>
          </w:p>
          <w:p>
            <w:pP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lang w:eastAsia="zh-CN"/>
              </w:rPr>
              <w:t xml:space="preserve">2.</w:t>
            </w:r>
            <w:r>
              <w:rPr>
                <w:rFonts w:hint="eastAsia" w:ascii="宋体" w:hAnsi="宋体" w:eastAsia="宋体" w:cs="Times New Roman"/>
                <w:b/>
                <w:bCs/>
                <w:color w:val="auto"/>
                <w:szCs w:val="24"/>
                <w:highlight w:val="none"/>
              </w:rPr>
              <w:t xml:space="preserve">人工工资不得低于无锡市最低工资标准</w:t>
            </w:r>
            <w:r>
              <w:rPr>
                <w:rFonts w:hint="eastAsia" w:ascii="宋体" w:hAnsi="宋体" w:cs="Times New Roman"/>
                <w:b/>
                <w:bCs/>
                <w:color w:val="auto"/>
                <w:szCs w:val="24"/>
                <w:highlight w:val="none"/>
                <w:lang w:val="en-US" w:eastAsia="zh-CN"/>
              </w:rPr>
              <w:t xml:space="preserve">2660</w:t>
            </w:r>
            <w:r>
              <w:rPr>
                <w:rFonts w:hint="eastAsia" w:ascii="宋体" w:hAnsi="宋体" w:eastAsia="宋体" w:cs="Times New Roman"/>
                <w:b/>
                <w:bCs/>
                <w:color w:val="auto"/>
                <w:szCs w:val="24"/>
                <w:highlight w:val="none"/>
              </w:rPr>
              <w:t xml:space="preserve">元/人/月</w:t>
            </w:r>
            <w:r/>
          </w:p>
        </w:tc>
      </w:tr>
      <w:tr>
        <w:trPr/>
        <w:tc>
          <w:tcPr>
            <w:tcW w:w="735"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w:t>
            </w:r>
            <w:r/>
          </w:p>
        </w:tc>
        <w:tc>
          <w:tcPr>
            <w:tcW w:w="1958" w:type="dxa"/>
            <w:vAlign w:val="top"/>
            <w:textDirection w:val="lrTb"/>
            <w:noWrap w:val="false"/>
          </w:tcPr>
          <w:p>
            <w:pP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二、投标总价</w:t>
            </w:r>
            <w:r/>
          </w:p>
        </w:tc>
        <w:tc>
          <w:tcPr>
            <w:gridSpan w:val="3"/>
            <w:tcW w:w="3277" w:type="dxa"/>
            <w:vAlign w:val="top"/>
            <w:textDirection w:val="lrTb"/>
            <w:noWrap w:val="false"/>
          </w:tcPr>
          <w:p>
            <w:pPr>
              <w:jc w:val="center"/>
              <w:rPr>
                <w:rFonts w:hint="default" w:ascii="宋体" w:hAnsi="宋体" w:eastAsia="宋体" w:cs="Times New Roman"/>
                <w:color w:val="auto"/>
                <w:szCs w:val="24"/>
                <w:highlight w:val="none"/>
              </w:rPr>
            </w:pPr>
            <w:r>
              <w:rPr>
                <w:rFonts w:hint="default" w:ascii="宋体" w:hAnsi="宋体" w:eastAsia="宋体" w:cs="Times New Roman"/>
                <w:color w:val="auto"/>
                <w:szCs w:val="24"/>
                <w:highlight w:val="none"/>
              </w:rPr>
            </w:r>
            <w:r/>
          </w:p>
        </w:tc>
        <w:tc>
          <w:tcPr>
            <w:tcW w:w="408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 w:val="24"/>
                <w:szCs w:val="24"/>
                <w:highlight w:val="none"/>
              </w:rPr>
              <w:t xml:space="preserve">与开标一览表及投标函内容一致</w:t>
            </w:r>
            <w:r/>
          </w:p>
        </w:tc>
      </w:tr>
      <w:tr>
        <w:trPr/>
        <w:tc>
          <w:tcPr>
            <w:tcW w:w="735"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w:t>
            </w:r>
            <w:r/>
          </w:p>
        </w:tc>
        <w:tc>
          <w:tcPr>
            <w:tcW w:w="195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人工费占比</w:t>
            </w:r>
            <w:r/>
          </w:p>
        </w:tc>
        <w:tc>
          <w:tcPr>
            <w:gridSpan w:val="3"/>
            <w:tcW w:w="3277"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w:t>
            </w:r>
            <w:r/>
          </w:p>
        </w:tc>
        <w:tc>
          <w:tcPr>
            <w:tcW w:w="408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养护作业人员合价/投标总价</w:t>
            </w:r>
            <w:r/>
          </w:p>
        </w:tc>
      </w:tr>
      <w:tr>
        <w:trPr/>
        <w:tc>
          <w:tcPr>
            <w:tcW w:w="735"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w:t>
            </w:r>
            <w:r/>
          </w:p>
        </w:tc>
        <w:tc>
          <w:tcPr>
            <w:tcW w:w="195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人工费占比标准</w:t>
            </w:r>
            <w:r/>
          </w:p>
        </w:tc>
        <w:tc>
          <w:tcPr>
            <w:gridSpan w:val="3"/>
            <w:tcW w:w="3277"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w:t>
            </w:r>
            <w:r/>
          </w:p>
        </w:tc>
        <w:tc>
          <w:tcPr>
            <w:tcW w:w="4088" w:type="dxa"/>
            <w:vAlign w:val="top"/>
            <w:textDirection w:val="lrTb"/>
            <w:noWrap w:val="false"/>
          </w:tcPr>
          <w:p>
            <w:pPr>
              <w:jc w:val="center"/>
              <w:rPr>
                <w:rFonts w:hint="default" w:ascii="宋体" w:hAnsi="宋体" w:eastAsia="宋体" w:cs="Times New Roman"/>
                <w:color w:val="auto"/>
                <w:szCs w:val="24"/>
                <w:highlight w:val="none"/>
              </w:rPr>
            </w:pPr>
            <w:r>
              <w:rPr>
                <w:rFonts w:hint="eastAsia" w:ascii="宋体" w:hAnsi="宋体" w:cs="Times New Roman"/>
                <w:b/>
                <w:bCs/>
                <w:color w:val="auto"/>
                <w:sz w:val="24"/>
                <w:szCs w:val="24"/>
                <w:highlight w:val="none"/>
                <w:lang w:val="en-US" w:eastAsia="zh-CN"/>
              </w:rPr>
              <w:t xml:space="preserve">按</w:t>
            </w:r>
            <w:r>
              <w:rPr>
                <w:rFonts w:hint="eastAsia" w:ascii="宋体" w:hAnsi="宋体" w:eastAsia="宋体" w:cs="Times New Roman"/>
                <w:b/>
                <w:bCs/>
                <w:color w:val="auto"/>
                <w:sz w:val="24"/>
                <w:szCs w:val="24"/>
                <w:highlight w:val="none"/>
              </w:rPr>
              <w:t xml:space="preserve">招标文件中人工费占比标准</w:t>
            </w:r>
            <w:r/>
          </w:p>
        </w:tc>
      </w:tr>
    </w:tbl>
    <w:p>
      <w:pPr>
        <w:jc w:val="left"/>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注：1、单价、合价均以人民币元表示，金额及百分比精确到小数点后2位。</w:t>
      </w:r>
      <w:r/>
    </w:p>
    <w:p>
      <w:pPr>
        <w:ind w:firstLine="315"/>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lang w:eastAsia="zh-CN"/>
        </w:rPr>
        <w:t xml:space="preserve">2.</w:t>
      </w:r>
      <w:r>
        <w:rPr>
          <w:rFonts w:hint="eastAsia" w:ascii="宋体" w:hAnsi="宋体" w:eastAsia="宋体" w:cs="Times New Roman"/>
          <w:color w:val="auto"/>
          <w:szCs w:val="24"/>
          <w:highlight w:val="none"/>
        </w:rPr>
        <w:t xml:space="preserve">人工费占比不得高于人工费占比标准。</w:t>
      </w:r>
      <w:r/>
    </w:p>
    <w:p>
      <w:pP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投标供应商（盖章）：</w:t>
      </w:r>
      <w:r/>
    </w:p>
    <w:p>
      <w:pPr>
        <w:ind w:firstLine="480"/>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法定代表人（签字或盖章）：</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eastAsia="黑体"/>
          <w:bCs/>
          <w:color w:val="auto"/>
          <w:sz w:val="24"/>
          <w:szCs w:val="24"/>
          <w:highlight w:val="none"/>
          <w:lang w:eastAsia="zh-CN"/>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十八</w:t>
      </w:r>
      <w:r>
        <w:rPr>
          <w:rFonts w:hint="eastAsia" w:eastAsia="黑体"/>
          <w:bCs/>
          <w:color w:val="auto"/>
          <w:sz w:val="24"/>
          <w:szCs w:val="24"/>
          <w:highlight w:val="none"/>
          <w:lang w:eastAsia="zh-CN"/>
        </w:rPr>
        <w:t xml:space="preserve">）报价文件格式</w:t>
      </w:r>
      <w:r/>
    </w:p>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r>
      <w:r/>
    </w:p>
    <w:p>
      <w:pPr>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rPr>
        <w:t xml:space="preserve">一、投 标 总 价</w:t>
      </w:r>
      <w:r/>
    </w:p>
    <w:p>
      <w:pPr>
        <w:jc w:val="right"/>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表1</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ind w:firstLine="280"/>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招 标 人：</w:t>
      </w:r>
      <w:r>
        <w:rPr>
          <w:rFonts w:hint="eastAsia" w:ascii="宋体" w:hAnsi="宋体"/>
          <w:color w:val="auto"/>
          <w:sz w:val="28"/>
          <w:highlight w:val="none"/>
          <w:u w:val="single"/>
        </w:rPr>
        <w:t xml:space="preserve">                                                </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  工程名称：</w:t>
      </w:r>
      <w:r>
        <w:rPr>
          <w:rFonts w:hint="eastAsia" w:ascii="宋体" w:hAnsi="宋体"/>
          <w:color w:val="auto"/>
          <w:sz w:val="28"/>
          <w:highlight w:val="none"/>
          <w:u w:val="single"/>
        </w:rPr>
        <w:t xml:space="preserve">                                                </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ind w:firstLine="280"/>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投标总价（小写</w:t>
      </w:r>
      <w:r>
        <w:rPr>
          <w:rFonts w:ascii="宋体" w:hAnsi="宋体"/>
          <w:color w:val="auto"/>
          <w:sz w:val="28"/>
          <w:highlight w:val="none"/>
        </w:rPr>
        <w:t xml:space="preserve">）</w:t>
      </w:r>
      <w:r>
        <w:rPr>
          <w:rFonts w:hint="eastAsia" w:ascii="宋体" w:hAnsi="宋体"/>
          <w:color w:val="auto"/>
          <w:sz w:val="28"/>
          <w:highlight w:val="none"/>
          <w:lang w:eastAsia="zh-CN"/>
        </w:rPr>
        <w:t xml:space="preserve">：</w:t>
      </w:r>
      <w:r>
        <w:rPr>
          <w:rFonts w:hint="eastAsia" w:ascii="宋体" w:hAnsi="宋体"/>
          <w:color w:val="auto"/>
          <w:sz w:val="28"/>
          <w:highlight w:val="none"/>
          <w:u w:val="single"/>
        </w:rPr>
        <w:t xml:space="preserve">                                         </w:t>
      </w:r>
      <w:r/>
    </w:p>
    <w:p>
      <w:pPr>
        <w:spacing w:line="300" w:lineRule="exact"/>
        <w:rPr>
          <w:rFonts w:hint="eastAsia" w:ascii="宋体" w:hAnsi="宋体"/>
          <w:color w:val="auto"/>
          <w:sz w:val="28"/>
          <w:highlight w:val="none"/>
        </w:rPr>
      </w:pPr>
      <w:r>
        <w:rPr>
          <w:rFonts w:hint="eastAsia" w:ascii="宋体" w:hAnsi="宋体"/>
          <w:color w:val="auto"/>
          <w:sz w:val="28"/>
          <w:highlight w:val="none"/>
        </w:rPr>
        <w:t xml:space="preserve">   </w:t>
      </w:r>
      <w:r/>
    </w:p>
    <w:p>
      <w:pPr>
        <w:ind w:firstLine="1400"/>
        <w:spacing w:line="300" w:lineRule="exact"/>
        <w:rPr>
          <w:rFonts w:hint="eastAsia" w:ascii="宋体" w:hAnsi="宋体"/>
          <w:color w:val="auto"/>
          <w:sz w:val="28"/>
          <w:highlight w:val="none"/>
        </w:rPr>
      </w:pPr>
      <w:r>
        <w:rPr>
          <w:rFonts w:hint="eastAsia" w:ascii="宋体" w:hAnsi="宋体"/>
          <w:color w:val="auto"/>
          <w:sz w:val="28"/>
          <w:highlight w:val="none"/>
        </w:rPr>
        <w:t xml:space="preserve">（大写</w:t>
      </w:r>
      <w:r>
        <w:rPr>
          <w:rFonts w:ascii="宋体" w:hAnsi="宋体"/>
          <w:color w:val="auto"/>
          <w:sz w:val="28"/>
          <w:highlight w:val="none"/>
        </w:rPr>
        <w:t xml:space="preserve">）</w:t>
      </w:r>
      <w:r>
        <w:rPr>
          <w:rFonts w:hint="eastAsia" w:ascii="宋体" w:hAnsi="宋体"/>
          <w:color w:val="auto"/>
          <w:sz w:val="28"/>
          <w:highlight w:val="none"/>
          <w:lang w:eastAsia="zh-CN"/>
        </w:rPr>
        <w:t xml:space="preserve">：</w:t>
      </w:r>
      <w:r>
        <w:rPr>
          <w:rFonts w:hint="eastAsia" w:ascii="宋体" w:hAnsi="宋体"/>
          <w:color w:val="auto"/>
          <w:sz w:val="28"/>
          <w:highlight w:val="none"/>
          <w:u w:val="single"/>
        </w:rPr>
        <w:t xml:space="preserve">                                         </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t xml:space="preserve"> </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ind w:firstLine="280"/>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投 标 人：</w:t>
      </w:r>
      <w:r>
        <w:rPr>
          <w:rFonts w:hint="eastAsia" w:ascii="宋体" w:hAnsi="宋体"/>
          <w:color w:val="auto"/>
          <w:sz w:val="28"/>
          <w:highlight w:val="none"/>
          <w:u w:val="single"/>
        </w:rPr>
        <w:t xml:space="preserve">                                                </w:t>
      </w:r>
      <w:r/>
    </w:p>
    <w:p>
      <w:pPr>
        <w:ind w:firstLine="7200"/>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（单位盖章）  </w:t>
      </w:r>
      <w:r/>
    </w:p>
    <w:p>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ind w:firstLine="280"/>
        <w:spacing w:line="300" w:lineRule="exact"/>
        <w:rPr>
          <w:rFonts w:hint="eastAsia" w:ascii="宋体" w:hAnsi="宋体"/>
          <w:color w:val="auto"/>
          <w:sz w:val="28"/>
          <w:highlight w:val="none"/>
        </w:rPr>
      </w:pPr>
      <w:r>
        <w:rPr>
          <w:rFonts w:hint="eastAsia" w:ascii="宋体" w:hAnsi="宋体"/>
          <w:color w:val="auto"/>
          <w:sz w:val="28"/>
          <w:highlight w:val="none"/>
        </w:rPr>
        <w:t xml:space="preserve">法定代表人</w:t>
      </w:r>
      <w:r/>
    </w:p>
    <w:p>
      <w:pPr>
        <w:ind w:firstLine="280"/>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或其授权人：</w:t>
      </w:r>
      <w:r>
        <w:rPr>
          <w:rFonts w:hint="eastAsia" w:ascii="宋体" w:hAnsi="宋体"/>
          <w:color w:val="auto"/>
          <w:sz w:val="28"/>
          <w:highlight w:val="none"/>
          <w:u w:val="single"/>
        </w:rPr>
        <w:t xml:space="preserve">                                               </w:t>
      </w:r>
      <w:r/>
    </w:p>
    <w:p>
      <w:pPr>
        <w:ind w:firstLine="7290"/>
        <w:spacing w:line="300" w:lineRule="exact"/>
        <w:rPr>
          <w:rFonts w:hint="eastAsia" w:ascii="宋体" w:hAnsi="宋体"/>
          <w:color w:val="auto"/>
          <w:sz w:val="28"/>
          <w:highlight w:val="none"/>
        </w:rPr>
      </w:pPr>
      <w:r>
        <w:rPr>
          <w:rFonts w:hint="eastAsia" w:ascii="宋体" w:hAnsi="宋体"/>
          <w:color w:val="auto"/>
          <w:sz w:val="18"/>
          <w:szCs w:val="18"/>
          <w:highlight w:val="none"/>
        </w:rPr>
        <w:t xml:space="preserve">（单位盖章）</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ind w:firstLine="280"/>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编制人：</w:t>
      </w:r>
      <w:r>
        <w:rPr>
          <w:rFonts w:hint="eastAsia" w:ascii="宋体" w:hAnsi="宋体"/>
          <w:color w:val="auto"/>
          <w:sz w:val="28"/>
          <w:highlight w:val="none"/>
          <w:u w:val="single"/>
        </w:rPr>
        <w:t xml:space="preserve">                                                   </w:t>
      </w:r>
      <w:r/>
    </w:p>
    <w:p>
      <w:pPr>
        <w:ind w:firstLine="6390"/>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（造价人员签字盖专用章）  </w:t>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ind w:firstLine="280"/>
        <w:spacing w:line="300" w:lineRule="exact"/>
        <w:rPr>
          <w:rFonts w:hint="eastAsia" w:ascii="宋体" w:hAnsi="宋体"/>
          <w:color w:val="auto"/>
          <w:sz w:val="28"/>
          <w:highlight w:val="none"/>
        </w:rPr>
      </w:pPr>
      <w:r>
        <w:rPr>
          <w:rFonts w:hint="eastAsia" w:ascii="宋体" w:hAnsi="宋体"/>
          <w:color w:val="auto"/>
          <w:sz w:val="28"/>
          <w:highlight w:val="none"/>
        </w:rPr>
        <w:t xml:space="preserve">编制时间：      年      月      日</w:t>
      </w:r>
      <w:r/>
    </w:p>
    <w:p>
      <w:pPr>
        <w:rPr>
          <w:rFonts w:hint="eastAsia" w:ascii="宋体" w:hAnsi="宋体"/>
          <w:color w:val="auto"/>
          <w:sz w:val="28"/>
          <w:highlight w:val="none"/>
        </w:rPr>
      </w:pPr>
      <w:r>
        <w:rPr>
          <w:rFonts w:hint="eastAsia" w:ascii="宋体" w:hAnsi="宋体"/>
          <w:color w:val="auto"/>
          <w:sz w:val="28"/>
          <w:highlight w:val="none"/>
        </w:rPr>
        <w:br w:type="page" w:clear="all"/>
      </w:r>
      <w:r/>
    </w:p>
    <w:p>
      <w:pPr>
        <w:spacing w:line="300" w:lineRule="exact"/>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b/>
          <w:color w:val="auto"/>
          <w:sz w:val="32"/>
          <w:szCs w:val="32"/>
          <w:highlight w:val="none"/>
        </w:rPr>
        <w:t xml:space="preserve">二、单项工程投标报价汇总表</w:t>
      </w:r>
      <w:r/>
    </w:p>
    <w:p>
      <w:pPr>
        <w:jc w:val="right"/>
        <w:rPr>
          <w:rFonts w:hint="eastAsia" w:ascii="宋体" w:hAnsi="宋体" w:eastAsia="宋体" w:cs="Times New Roman"/>
          <w:color w:val="auto"/>
          <w:szCs w:val="24"/>
          <w:highlight w:val="none"/>
        </w:rPr>
      </w:pPr>
      <w:r>
        <w:rPr>
          <w:rFonts w:hint="eastAsia" w:ascii="宋体" w:hAnsi="宋体" w:eastAsia="宋体" w:cs="Times New Roman"/>
          <w:color w:val="auto"/>
          <w:sz w:val="28"/>
          <w:szCs w:val="24"/>
          <w:highlight w:val="none"/>
        </w:rPr>
        <w:t xml:space="preserve">表2</w:t>
      </w:r>
      <w:r/>
    </w:p>
    <w:p>
      <w:pPr>
        <w:ind w:firstLine="440"/>
        <w:rPr>
          <w:rFonts w:hint="eastAsia" w:ascii="宋体" w:hAnsi="宋体" w:eastAsia="宋体" w:cs="Times New Roman"/>
          <w:color w:val="auto"/>
          <w:szCs w:val="24"/>
          <w:highlight w:val="none"/>
        </w:rPr>
      </w:pPr>
      <w:r>
        <w:rPr>
          <w:rFonts w:hint="eastAsia" w:ascii="宋体" w:hAnsi="宋体" w:eastAsia="宋体" w:cs="宋体"/>
          <w:color w:val="auto"/>
          <w:sz w:val="22"/>
          <w:szCs w:val="22"/>
          <w:highlight w:val="none"/>
        </w:rPr>
        <w:t xml:space="preserve">工程名称：</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651"/>
        <w:gridCol w:w="1419"/>
        <w:gridCol w:w="1419"/>
        <w:gridCol w:w="2299"/>
        <w:gridCol w:w="1420"/>
      </w:tblGrid>
      <w:tr>
        <w:trPr>
          <w:jc w:val="center"/>
          <w:trHeight w:val="456"/>
        </w:trPr>
        <w:tc>
          <w:tcPr>
            <w:tcW w:w="1188" w:type="dxa"/>
            <w:vAlign w:val="center"/>
            <w:vMerge w:val="restart"/>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序号</w:t>
            </w:r>
            <w:r/>
          </w:p>
        </w:tc>
        <w:tc>
          <w:tcPr>
            <w:tcW w:w="1651" w:type="dxa"/>
            <w:vAlign w:val="center"/>
            <w:vMerge w:val="restart"/>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宋体"/>
                <w:b/>
                <w:color w:val="auto"/>
                <w:sz w:val="22"/>
                <w:szCs w:val="22"/>
                <w:highlight w:val="none"/>
              </w:rPr>
              <w:t xml:space="preserve">单位工程名称</w:t>
            </w:r>
            <w:r/>
          </w:p>
        </w:tc>
        <w:tc>
          <w:tcPr>
            <w:tcW w:w="1419" w:type="dxa"/>
            <w:vAlign w:val="center"/>
            <w:vMerge w:val="restart"/>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宋体"/>
                <w:b/>
                <w:color w:val="auto"/>
                <w:sz w:val="22"/>
                <w:szCs w:val="22"/>
                <w:highlight w:val="none"/>
              </w:rPr>
              <w:t xml:space="preserve">金额</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c>
          <w:tcPr>
            <w:gridSpan w:val="3"/>
            <w:tcW w:w="5138" w:type="dxa"/>
            <w:vAlign w:val="center"/>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其中</w:t>
            </w:r>
            <w:r/>
          </w:p>
        </w:tc>
      </w:tr>
      <w:tr>
        <w:trPr>
          <w:jc w:val="center"/>
        </w:trPr>
        <w:tc>
          <w:tcPr>
            <w:tcW w:w="1188" w:type="dxa"/>
            <w:vAlign w:val="top"/>
            <w:vMerge w:val="continue"/>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651" w:type="dxa"/>
            <w:vAlign w:val="top"/>
            <w:vMerge w:val="continue"/>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vMerge w:val="continue"/>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center"/>
            <w:textDirection w:val="lrTb"/>
            <w:noWrap w:val="false"/>
          </w:tcPr>
          <w:p>
            <w:pPr>
              <w:jc w:val="center"/>
              <w:spacing w:before="120" w:after="120" w:line="300" w:lineRule="auto"/>
              <w:widowControl/>
              <w:rPr>
                <w:rFonts w:hint="default"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暂估价</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c>
          <w:tcPr>
            <w:tcW w:w="2299" w:type="dxa"/>
            <w:vAlign w:val="center"/>
            <w:textDirection w:val="lrTb"/>
            <w:noWrap w:val="false"/>
          </w:tcPr>
          <w:p>
            <w:pPr>
              <w:jc w:val="center"/>
              <w:spacing w:before="120" w:after="120" w:line="300" w:lineRule="auto"/>
              <w:widowControl/>
              <w:rPr>
                <w:rFonts w:hint="default"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安全文明施工费</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c>
          <w:tcPr>
            <w:tcW w:w="1420" w:type="dxa"/>
            <w:vAlign w:val="center"/>
            <w:textDirection w:val="lrTb"/>
            <w:noWrap w:val="false"/>
          </w:tcPr>
          <w:p>
            <w:pPr>
              <w:jc w:val="center"/>
              <w:spacing w:before="120" w:after="120" w:line="300" w:lineRule="auto"/>
              <w:widowControl/>
              <w:rPr>
                <w:rFonts w:hint="default"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规费</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r>
      <w:tr>
        <w:trPr>
          <w:jc w:val="center"/>
          <w:trHeight w:val="2964"/>
        </w:trPr>
        <w:tc>
          <w:tcPr>
            <w:tcW w:w="1188"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651"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229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20"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jc w:val="center"/>
          <w:trHeight w:val="624" w:hRule="exact"/>
        </w:trPr>
        <w:tc>
          <w:tcPr>
            <w:gridSpan w:val="2"/>
            <w:tcW w:w="2839" w:type="dxa"/>
            <w:vAlign w:val="center"/>
            <w:textDirection w:val="lrTb"/>
            <w:noWrap w:val="false"/>
          </w:tcPr>
          <w:p>
            <w:pPr>
              <w:ind w:firstLine="1325"/>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合计</w:t>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229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20"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bl>
    <w:p>
      <w:pPr>
        <w:jc w:val="center"/>
        <w:rPr>
          <w:rFonts w:hint="default"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三、单位工程投标报价汇总表</w:t>
      </w:r>
      <w:r/>
    </w:p>
    <w:p>
      <w:pPr>
        <w:jc w:val="left"/>
        <w:rPr>
          <w:rFonts w:hint="default" w:ascii="宋体" w:hAnsi="宋体" w:eastAsia="宋体" w:cs="宋体"/>
          <w:b/>
          <w:bCs/>
          <w:color w:val="auto"/>
          <w:szCs w:val="24"/>
          <w:highlight w:val="none"/>
        </w:rPr>
      </w:pPr>
      <w:r>
        <w:rPr>
          <w:rFonts w:hint="eastAsia" w:ascii="宋体" w:hAnsi="宋体" w:eastAsia="宋体" w:cs="宋体"/>
          <w:color w:val="auto"/>
          <w:sz w:val="22"/>
          <w:szCs w:val="22"/>
          <w:highlight w:val="none"/>
        </w:rPr>
        <w:t xml:space="preserve">工程名称：                                                                   </w:t>
      </w:r>
      <w:r>
        <w:rPr>
          <w:rFonts w:hint="eastAsia" w:ascii="宋体" w:hAnsi="宋体" w:eastAsia="宋体" w:cs="Times New Roman"/>
          <w:color w:val="auto"/>
          <w:sz w:val="28"/>
          <w:szCs w:val="24"/>
          <w:highlight w:val="none"/>
        </w:rPr>
        <w:t xml:space="preserve">表3</w:t>
      </w:r>
      <w:r>
        <w:rPr>
          <w:rFonts w:hint="eastAsia" w:ascii="宋体" w:hAnsi="宋体" w:eastAsia="宋体" w:cs="宋体"/>
          <w:color w:val="auto"/>
          <w:sz w:val="22"/>
          <w:szCs w:val="22"/>
          <w:highlight w:val="none"/>
        </w:rPr>
        <w:t xml:space="preserve">  </w:t>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0"/>
        <w:gridCol w:w="3225"/>
        <w:gridCol w:w="2212"/>
        <w:gridCol w:w="1591"/>
      </w:tblGrid>
      <w:tr>
        <w:trPr>
          <w:jc w:val="center"/>
          <w:trHeight w:val="585"/>
        </w:trPr>
        <w:tc>
          <w:tcPr>
            <w:tcBorders>
              <w:top w:val="single" w:color="auto" w:sz="4" w:space="0"/>
              <w:left w:val="single" w:color="auto" w:sz="4" w:space="0"/>
              <w:bottom w:val="single" w:color="000000" w:sz="4" w:space="0"/>
              <w:right w:val="single" w:color="auto" w:sz="4" w:space="0"/>
            </w:tcBorders>
            <w:tcW w:w="2010"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000000" w:sz="4" w:space="0"/>
              <w:right w:val="single" w:color="auto" w:sz="4" w:space="0"/>
            </w:tcBorders>
            <w:tcW w:w="3225"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汇总内容</w:t>
            </w:r>
            <w:r/>
          </w:p>
        </w:tc>
        <w:tc>
          <w:tcPr>
            <w:tcBorders>
              <w:top w:val="single" w:color="auto" w:sz="4" w:space="0"/>
              <w:left w:val="single" w:color="auto" w:sz="4" w:space="0"/>
              <w:bottom w:val="single" w:color="000000" w:sz="4" w:space="0"/>
              <w:right w:val="single" w:color="auto" w:sz="4" w:space="0"/>
            </w:tcBorders>
            <w:tcW w:w="2212"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000000" w:sz="4" w:space="0"/>
              <w:right w:val="single" w:color="auto" w:sz="4" w:space="0"/>
            </w:tcBorders>
            <w:tcW w:w="1591"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暂估价</w:t>
            </w:r>
            <w:r/>
          </w:p>
        </w:tc>
      </w:tr>
      <w:tr>
        <w:trPr>
          <w:jc w:val="center"/>
          <w:trHeight w:val="45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分部分项工程</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22"/>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措施项目</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4"/>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安全文明施工费</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9"/>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其他项目</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39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暂列金额</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专业工程暂估价</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6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3.3</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计日工</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00"/>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总承包服务费</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06"/>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规费</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26"/>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税金</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7"/>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合计=1+2+3+4+5</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bl>
    <w:p>
      <w:pPr>
        <w:jc w:val="center"/>
        <w:rPr>
          <w:rFonts w:hint="default" w:ascii="宋体" w:hAnsi="宋体" w:eastAsia="宋体" w:cs="宋体"/>
          <w:b/>
          <w:color w:val="auto"/>
          <w:sz w:val="32"/>
          <w:szCs w:val="32"/>
          <w:highlight w:val="none"/>
        </w:rPr>
      </w:pPr>
      <w:r>
        <w:rPr>
          <w:rFonts w:hint="default" w:ascii="宋体" w:hAnsi="宋体" w:eastAsia="宋体" w:cs="宋体"/>
          <w:b/>
          <w:color w:val="auto"/>
          <w:sz w:val="32"/>
          <w:szCs w:val="32"/>
          <w:highlight w:val="none"/>
        </w:rPr>
      </w:r>
      <w:r/>
    </w:p>
    <w:p>
      <w:pPr>
        <w:jc w:val="center"/>
        <w:rPr>
          <w:rFonts w:hint="eastAsia" w:ascii="宋体" w:hAnsi="宋体" w:eastAsia="宋体" w:cs="Times New Roman"/>
          <w:b/>
          <w:color w:val="auto"/>
          <w:sz w:val="44"/>
          <w:szCs w:val="44"/>
          <w:highlight w:val="none"/>
        </w:rPr>
      </w:pPr>
      <w:r>
        <w:rPr>
          <w:rFonts w:hint="default"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四、分部分项工程和单价措施项目清单与计价表</w:t>
      </w:r>
      <w:r/>
    </w:p>
    <w:p>
      <w:pPr>
        <w:ind w:firstLine="1890"/>
        <w:jc w:val="right"/>
        <w:spacing w:line="440" w:lineRule="exact"/>
        <w:tabs>
          <w:tab w:val="left" w:pos="5580" w:leader="none"/>
          <w:tab w:val="left" w:pos="5760" w:leader="none"/>
        </w:tabs>
        <w:rPr>
          <w:rFonts w:hint="eastAsia" w:ascii="宋体" w:hAnsi="宋体" w:eastAsia="宋体" w:cs="Times New Roman"/>
          <w:color w:val="auto"/>
          <w:sz w:val="36"/>
          <w:szCs w:val="36"/>
          <w:highlight w:val="none"/>
        </w:rPr>
      </w:pPr>
      <w:r>
        <w:rPr>
          <w:rFonts w:hint="eastAsia" w:ascii="宋体" w:hAnsi="宋体" w:eastAsia="宋体" w:cs="Times New Roman"/>
          <w:color w:val="auto"/>
          <w:sz w:val="28"/>
          <w:szCs w:val="24"/>
          <w:highlight w:val="none"/>
        </w:rPr>
        <w:t xml:space="preserve">表4</w:t>
      </w:r>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工程名称：                               </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36"/>
        <w:gridCol w:w="1236"/>
        <w:gridCol w:w="1476"/>
        <w:gridCol w:w="1092"/>
        <w:gridCol w:w="900"/>
        <w:gridCol w:w="1116"/>
        <w:gridCol w:w="816"/>
        <w:gridCol w:w="948"/>
      </w:tblGrid>
      <w:tr>
        <w:trPr/>
        <w:tc>
          <w:tcPr>
            <w:tcW w:w="648"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序号</w:t>
            </w:r>
            <w:r/>
          </w:p>
        </w:tc>
        <w:tc>
          <w:tcPr>
            <w:tcW w:w="1236"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项目编码</w:t>
            </w:r>
            <w:r/>
          </w:p>
        </w:tc>
        <w:tc>
          <w:tcPr>
            <w:tcW w:w="1236"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项目名称</w:t>
            </w:r>
            <w:r/>
          </w:p>
        </w:tc>
        <w:tc>
          <w:tcPr>
            <w:tcW w:w="1476"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项目特征描述</w:t>
            </w:r>
            <w:r/>
          </w:p>
        </w:tc>
        <w:tc>
          <w:tcPr>
            <w:tcW w:w="1092"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计量单位</w:t>
            </w:r>
            <w:r/>
          </w:p>
        </w:tc>
        <w:tc>
          <w:tcPr>
            <w:tcW w:w="900"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工程量</w:t>
            </w:r>
            <w:r/>
          </w:p>
        </w:tc>
        <w:tc>
          <w:tcPr>
            <w:gridSpan w:val="3"/>
            <w:tcW w:w="2880"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金额</w:t>
            </w:r>
            <w:r>
              <w:rPr>
                <w:rFonts w:hint="eastAsia" w:ascii="宋体" w:hAnsi="宋体" w:eastAsia="宋体" w:cs="Times New Roman"/>
                <w:b/>
                <w:color w:val="auto"/>
                <w:sz w:val="18"/>
                <w:szCs w:val="18"/>
                <w:highlight w:val="none"/>
                <w:lang w:eastAsia="zh-CN"/>
              </w:rPr>
              <w:t xml:space="preserve">（</w:t>
            </w:r>
            <w:r>
              <w:rPr>
                <w:rFonts w:hint="eastAsia" w:ascii="宋体" w:hAnsi="宋体" w:eastAsia="宋体" w:cs="Times New Roman"/>
                <w:b/>
                <w:color w:val="auto"/>
                <w:sz w:val="18"/>
                <w:szCs w:val="18"/>
                <w:highlight w:val="none"/>
              </w:rPr>
              <w:t xml:space="preserve">元</w:t>
            </w:r>
            <w:r>
              <w:rPr>
                <w:rFonts w:hint="eastAsia" w:ascii="宋体" w:hAnsi="宋体" w:eastAsia="宋体" w:cs="Times New Roman"/>
                <w:b/>
                <w:color w:val="auto"/>
                <w:sz w:val="18"/>
                <w:szCs w:val="18"/>
                <w:highlight w:val="none"/>
                <w:lang w:eastAsia="zh-CN"/>
              </w:rPr>
              <w:t xml:space="preserve">）</w:t>
            </w:r>
            <w:r/>
          </w:p>
        </w:tc>
      </w:tr>
      <w:tr>
        <w:trPr>
          <w:trHeight w:val="535"/>
        </w:trPr>
        <w:tc>
          <w:tcPr>
            <w:tcW w:w="648"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476"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092"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900"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1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综合单价</w:t>
            </w:r>
            <w:r/>
          </w:p>
        </w:tc>
        <w:tc>
          <w:tcPr>
            <w:tcW w:w="8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合价</w:t>
            </w:r>
            <w:r/>
          </w:p>
        </w:tc>
        <w:tc>
          <w:tcPr>
            <w:tcW w:w="948" w:type="dxa"/>
            <w:vAlign w:val="center"/>
            <w:textDirection w:val="lrTb"/>
            <w:noWrap w:val="false"/>
          </w:tcPr>
          <w:p>
            <w:pPr>
              <w:jc w:val="center"/>
              <w:spacing w:before="120" w:after="120" w:line="30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其中    暂估价</w:t>
            </w:r>
            <w:r/>
          </w:p>
        </w:tc>
      </w:tr>
      <w:tr>
        <w:trPr>
          <w:trHeight w:val="510" w:hRule="exact"/>
        </w:trPr>
        <w:tc>
          <w:tcPr>
            <w:tcW w:w="648"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47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092"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900"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1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8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948"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r>
      <w:tr>
        <w:trPr>
          <w:trHeight w:val="510" w:hRule="exact"/>
        </w:trPr>
        <w:tc>
          <w:tcPr>
            <w:tcW w:w="648"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tcW w:w="6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tcW w:w="6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tcW w:w="6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gridSpan w:val="7"/>
            <w:tcW w:w="7704" w:type="dxa"/>
            <w:vAlign w:val="top"/>
            <w:textDirection w:val="lrTb"/>
            <w:noWrap w:val="false"/>
          </w:tcPr>
          <w:p>
            <w:pPr>
              <w:jc w:val="center"/>
              <w:spacing w:before="120" w:after="120" w:line="440" w:lineRule="exac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本页小计</w:t>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gridSpan w:val="7"/>
            <w:tcW w:w="7704" w:type="dxa"/>
            <w:vAlign w:val="top"/>
            <w:textDirection w:val="lrTb"/>
            <w:noWrap w:val="false"/>
          </w:tcPr>
          <w:p>
            <w:pPr>
              <w:jc w:val="center"/>
              <w:spacing w:before="120" w:after="120" w:line="440" w:lineRule="exac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合    计</w:t>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bl>
    <w:p>
      <w:pPr>
        <w:jc w:val="center"/>
        <w:rPr>
          <w:rFonts w:hint="default" w:ascii="宋体" w:hAnsi="宋体" w:eastAsia="宋体" w:cs="Times New Roman"/>
          <w:color w:val="auto"/>
          <w:sz w:val="32"/>
          <w:szCs w:val="32"/>
          <w:highlight w:val="none"/>
        </w:rPr>
      </w:pPr>
      <w:r>
        <w:rPr>
          <w:rFonts w:hint="default" w:ascii="宋体" w:hAnsi="宋体" w:eastAsia="宋体" w:cs="Times New Roman"/>
          <w:color w:val="auto"/>
          <w:sz w:val="32"/>
          <w:szCs w:val="32"/>
          <w:highlight w:val="none"/>
        </w:rPr>
      </w:r>
      <w:r/>
    </w:p>
    <w:p>
      <w:pPr>
        <w:jc w:val="center"/>
        <w:rPr>
          <w:rFonts w:hint="eastAsia" w:ascii="宋体" w:hAnsi="宋体" w:eastAsia="宋体" w:cs="宋体"/>
          <w:b/>
          <w:color w:val="auto"/>
          <w:sz w:val="32"/>
          <w:szCs w:val="32"/>
          <w:highlight w:val="none"/>
        </w:rPr>
      </w:pPr>
      <w:r>
        <w:rPr>
          <w:rFonts w:hint="default" w:ascii="宋体" w:hAnsi="宋体" w:eastAsia="宋体" w:cs="Times New Roman"/>
          <w:color w:val="auto"/>
          <w:sz w:val="32"/>
          <w:szCs w:val="32"/>
          <w:highlight w:val="none"/>
        </w:rPr>
        <w:br w:type="page" w:clear="all"/>
      </w:r>
      <w:r>
        <w:rPr>
          <w:rFonts w:hint="eastAsia" w:ascii="宋体" w:hAnsi="宋体" w:eastAsia="宋体" w:cs="Times New Roman"/>
          <w:color w:val="auto"/>
          <w:sz w:val="32"/>
          <w:szCs w:val="32"/>
          <w:highlight w:val="none"/>
        </w:rPr>
        <w:t xml:space="preserve">五、</w:t>
      </w:r>
      <w:r>
        <w:rPr>
          <w:rFonts w:hint="eastAsia" w:ascii="宋体" w:hAnsi="宋体" w:eastAsia="宋体" w:cs="宋体"/>
          <w:b/>
          <w:color w:val="auto"/>
          <w:sz w:val="32"/>
          <w:szCs w:val="32"/>
          <w:highlight w:val="none"/>
        </w:rPr>
        <w:t xml:space="preserve">综合单价分析表</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表5</w:t>
      </w:r>
      <w:r/>
    </w:p>
    <w:p>
      <w:pPr>
        <w:ind w:right="48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trPr>
          <w:jc w:val="center"/>
          <w:trHeight w:val="460"/>
        </w:trPr>
        <w:tc>
          <w:tcPr>
            <w:gridSpan w:val="2"/>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项目编码</w:t>
            </w:r>
            <w:r/>
          </w:p>
        </w:tc>
        <w:tc>
          <w:tcPr>
            <w:gridSpan w:val="3"/>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c>
        <w:tc>
          <w:tcPr>
            <w:gridSpan w:val="5"/>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6"/>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计量单位</w:t>
            </w:r>
            <w:r/>
          </w:p>
        </w:tc>
        <w:tc>
          <w:tcPr>
            <w:gridSpan w:val="3"/>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23"/>
            <w:tcBorders>
              <w:top w:val="single" w:color="auto" w:sz="4" w:space="0"/>
              <w:left w:val="single" w:color="auto" w:sz="4" w:space="0"/>
              <w:bottom w:val="single" w:color="auto" w:sz="4" w:space="0"/>
              <w:right w:val="single" w:color="auto" w:sz="4" w:space="0"/>
            </w:tcBorders>
            <w:tcW w:w="1024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清单综合单价组成明细</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定额编号</w:t>
            </w:r>
            <w:r/>
          </w:p>
        </w:tc>
        <w:tc>
          <w:tcPr>
            <w:gridSpan w:val="2"/>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定额名称</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定额</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63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gridSpan w:val="9"/>
            <w:tcBorders>
              <w:top w:val="single" w:color="auto" w:sz="4" w:space="0"/>
              <w:left w:val="single" w:color="auto" w:sz="4" w:space="0"/>
              <w:bottom w:val="single" w:color="auto" w:sz="4" w:space="0"/>
              <w:right w:val="single" w:color="auto" w:sz="4" w:space="0"/>
            </w:tcBorders>
            <w:tcW w:w="3352"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价</w:t>
            </w:r>
            <w:r/>
          </w:p>
        </w:tc>
        <w:tc>
          <w:tcPr>
            <w:gridSpan w:val="8"/>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价</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人工费</w:t>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材料费</w:t>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机械费</w:t>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管理费</w:t>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利润</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人工费</w:t>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材料费</w:t>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机械费</w:t>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利润</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3"/>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综合人工工日</w:t>
            </w:r>
            <w:r/>
          </w:p>
        </w:tc>
        <w:tc>
          <w:tcPr>
            <w:gridSpan w:val="12"/>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小</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计</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3"/>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工日</w:t>
            </w:r>
            <w:r/>
          </w:p>
        </w:tc>
        <w:tc>
          <w:tcPr>
            <w:gridSpan w:val="12"/>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未计价材料费</w:t>
            </w:r>
            <w:r/>
          </w:p>
        </w:tc>
        <w:tc>
          <w:tcPr>
            <w:gridSpan w:val="8"/>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15"/>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清单项目综合单价</w:t>
            </w:r>
            <w:r/>
          </w:p>
        </w:tc>
        <w:tc>
          <w:tcPr>
            <w:gridSpan w:val="8"/>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1030"/>
        </w:trPr>
        <w:tc>
          <w:tcPr>
            <w:tcBorders>
              <w:top w:val="single" w:color="auto" w:sz="4" w:space="0"/>
              <w:left w:val="single" w:color="auto" w:sz="4" w:space="0"/>
              <w:bottom w:val="single" w:color="auto" w:sz="4" w:space="0"/>
              <w:right w:val="single" w:color="auto" w:sz="4" w:space="0"/>
            </w:tcBorders>
            <w:tcW w:w="72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料</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费</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明</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细</w:t>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主要材料名称、规格、型号</w:t>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（元）</w:t>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（元）</w:t>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暂估</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单价（元）</w:t>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暂估</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合价（元）</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14"/>
            <w:tcBorders>
              <w:top w:val="single" w:color="auto" w:sz="4" w:space="0"/>
              <w:left w:val="single" w:color="auto" w:sz="4" w:space="0"/>
              <w:bottom w:val="single" w:color="auto" w:sz="4" w:space="0"/>
              <w:right w:val="single" w:color="auto" w:sz="4" w:space="0"/>
            </w:tcBorders>
            <w:tcW w:w="554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其他</w:t>
            </w:r>
            <w:r>
              <w:rPr>
                <w:rFonts w:hint="eastAsia" w:ascii="宋体" w:hAnsi="宋体" w:eastAsia="宋体" w:cs="宋体"/>
                <w:color w:val="auto"/>
                <w:sz w:val="24"/>
                <w:szCs w:val="21"/>
                <w:highlight w:val="none"/>
              </w:rPr>
              <w:t xml:space="preserve">材料费</w:t>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14"/>
            <w:tcBorders>
              <w:top w:val="single" w:color="auto" w:sz="4" w:space="0"/>
              <w:left w:val="single" w:color="auto" w:sz="4" w:space="0"/>
              <w:bottom w:val="single" w:color="auto" w:sz="4" w:space="0"/>
              <w:right w:val="single" w:color="auto" w:sz="4" w:space="0"/>
            </w:tcBorders>
            <w:tcW w:w="554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材料费小计</w:t>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bl>
    <w:p>
      <w:pPr>
        <w:jc w:val="left"/>
        <w:spacing w:line="280" w:lineRule="exact"/>
        <w:widowControl/>
        <w:rPr>
          <w:rFonts w:hint="default" w:ascii="宋体" w:hAnsi="宋体" w:eastAsia="宋体" w:cs="宋体"/>
          <w:color w:val="auto"/>
          <w:sz w:val="18"/>
          <w:szCs w:val="18"/>
          <w:highlight w:val="none"/>
        </w:rPr>
      </w:pP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18"/>
          <w:szCs w:val="18"/>
          <w:highlight w:val="none"/>
        </w:rPr>
        <w:t xml:space="preserve">注：</w:t>
      </w:r>
      <w:r>
        <w:rPr>
          <w:rFonts w:hint="default" w:ascii="宋体" w:hAnsi="宋体" w:eastAsia="宋体" w:cs="Times New Roman"/>
          <w:color w:val="auto"/>
          <w:sz w:val="18"/>
          <w:szCs w:val="18"/>
          <w:highlight w:val="none"/>
        </w:rPr>
        <w:t xml:space="preserve">1</w:t>
      </w:r>
      <w:r>
        <w:rPr>
          <w:rFonts w:hint="eastAsia" w:ascii="宋体" w:hAnsi="宋体" w:eastAsia="宋体" w:cs="宋体"/>
          <w:color w:val="auto"/>
          <w:sz w:val="18"/>
          <w:szCs w:val="18"/>
          <w:highlight w:val="none"/>
        </w:rPr>
        <w:t xml:space="preserve">、如不使用省级或行业建设主管部门发布的计价依据，可不填定额项目、编号等。</w:t>
      </w:r>
      <w:r/>
    </w:p>
    <w:p>
      <w:pPr>
        <w:jc w:val="left"/>
        <w:spacing w:line="280" w:lineRule="exact"/>
        <w:widowControl/>
        <w:rPr>
          <w:rFonts w:hint="default" w:ascii="宋体" w:hAnsi="宋体" w:eastAsia="宋体" w:cs="宋体"/>
          <w:color w:val="auto"/>
          <w:sz w:val="18"/>
          <w:szCs w:val="18"/>
          <w:highlight w:val="none"/>
        </w:rPr>
      </w:pPr>
      <w:r>
        <w:rPr>
          <w:rFonts w:hint="default" w:ascii="宋体" w:hAnsi="宋体" w:eastAsia="宋体" w:cs="Times New Roman"/>
          <w:color w:val="auto"/>
          <w:sz w:val="18"/>
          <w:szCs w:val="18"/>
          <w:highlight w:val="none"/>
        </w:rPr>
        <w:t xml:space="preserve">     </w:t>
      </w:r>
      <w:r>
        <w:rPr>
          <w:rFonts w:hint="eastAsia" w:ascii="宋体" w:hAnsi="宋体" w:eastAsia="宋体" w:cs="Times New Roman"/>
          <w:color w:val="auto"/>
          <w:sz w:val="18"/>
          <w:szCs w:val="18"/>
          <w:highlight w:val="none"/>
          <w:lang w:eastAsia="zh-CN"/>
        </w:rPr>
        <w:t xml:space="preserve">2.</w:t>
      </w:r>
      <w:r>
        <w:rPr>
          <w:rFonts w:hint="eastAsia" w:ascii="宋体" w:hAnsi="宋体" w:eastAsia="宋体" w:cs="宋体"/>
          <w:color w:val="auto"/>
          <w:sz w:val="18"/>
          <w:szCs w:val="18"/>
          <w:highlight w:val="none"/>
        </w:rPr>
        <w:t xml:space="preserve">招标文件提供了暂估单价的材料，按暂估的单价填入表内“暂估单价”栏及“暂估合价”栏。</w:t>
      </w:r>
      <w:r/>
    </w:p>
    <w:p>
      <w:pPr>
        <w:ind w:firstLine="450"/>
        <w:spacing w:line="280" w:lineRule="exact"/>
        <w:rPr>
          <w:rFonts w:hint="eastAsia" w:ascii="宋体" w:hAnsi="宋体" w:eastAsia="宋体" w:cs="宋体"/>
          <w:color w:val="auto"/>
          <w:sz w:val="18"/>
          <w:szCs w:val="18"/>
          <w:highlight w:val="none"/>
        </w:rPr>
      </w:pPr>
      <w:r>
        <w:rPr>
          <w:rFonts w:hint="eastAsia" w:ascii="宋体" w:hAnsi="宋体" w:eastAsia="宋体" w:cs="Times New Roman"/>
          <w:color w:val="auto"/>
          <w:sz w:val="18"/>
          <w:szCs w:val="18"/>
          <w:highlight w:val="none"/>
          <w:lang w:eastAsia="zh-CN"/>
        </w:rPr>
        <w:t xml:space="preserve">3.</w:t>
      </w:r>
      <w:r>
        <w:rPr>
          <w:rFonts w:hint="eastAsia" w:ascii="宋体" w:hAnsi="宋体" w:eastAsia="宋体" w:cs="宋体"/>
          <w:color w:val="auto"/>
          <w:sz w:val="18"/>
          <w:szCs w:val="18"/>
          <w:highlight w:val="none"/>
        </w:rPr>
        <w:t xml:space="preserve">未计价材料费是指安装、市政</w:t>
      </w:r>
      <w:r/>
    </w:p>
    <w:p>
      <w:pPr>
        <w:ind w:firstLine="450"/>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等工程中的主材费。</w:t>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六、</w:t>
      </w:r>
      <w:r>
        <w:rPr>
          <w:rFonts w:hint="eastAsia" w:ascii="宋体" w:hAnsi="宋体" w:eastAsia="宋体" w:cs="宋体"/>
          <w:b/>
          <w:color w:val="auto"/>
          <w:sz w:val="32"/>
          <w:szCs w:val="32"/>
          <w:highlight w:val="none"/>
        </w:rPr>
        <w:t xml:space="preserve">总价措施项目清单与计价表</w:t>
      </w:r>
      <w:r/>
    </w:p>
    <w:p>
      <w:pPr>
        <w:ind w:firstLine="1890"/>
        <w:jc w:val="right"/>
        <w:spacing w:line="440" w:lineRule="exact"/>
        <w:tabs>
          <w:tab w:val="left" w:pos="5580" w:leader="none"/>
          <w:tab w:val="left" w:pos="5760"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表6</w:t>
      </w:r>
      <w:r/>
    </w:p>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868"/>
        <w:gridCol w:w="1055"/>
        <w:gridCol w:w="1613"/>
        <w:gridCol w:w="1550"/>
        <w:gridCol w:w="236"/>
      </w:tblGrid>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68" w:type="dxa"/>
            <w:vAlign w:val="center"/>
            <w:vMerge w:val="restart"/>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055"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计算基础</w:t>
            </w:r>
            <w:r/>
          </w:p>
        </w:tc>
        <w:tc>
          <w:tcPr>
            <w:tcBorders>
              <w:top w:val="single" w:color="auto" w:sz="4" w:space="0"/>
              <w:left w:val="single" w:color="auto" w:sz="4" w:space="0"/>
              <w:bottom w:val="single" w:color="auto" w:sz="4" w:space="0"/>
              <w:right w:val="single" w:color="auto" w:sz="4" w:space="0"/>
            </w:tcBorders>
            <w:tcW w:w="1613" w:type="dxa"/>
            <w:vAlign w:val="center"/>
            <w:vMerge w:val="restart"/>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费</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率（</w:t>
            </w:r>
            <w:r>
              <w:rPr>
                <w:rFonts w:hint="default" w:ascii="宋体" w:hAnsi="宋体" w:eastAsia="宋体" w:cs="Times New Roman"/>
                <w:color w:val="auto"/>
                <w:sz w:val="24"/>
                <w:szCs w:val="21"/>
                <w:highlight w:val="none"/>
              </w:rPr>
              <w:t xml:space="preserve">%</w:t>
            </w:r>
            <w:r>
              <w:rPr>
                <w:rFonts w:hint="eastAsia" w:ascii="宋体" w:hAnsi="宋体" w:eastAsia="宋体" w:cs="宋体"/>
                <w:color w:val="auto"/>
                <w:sz w:val="24"/>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0"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金</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额（元）</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86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b/>
                <w:color w:val="auto"/>
                <w:sz w:val="24"/>
                <w:szCs w:val="21"/>
                <w:highlight w:val="none"/>
              </w:rPr>
            </w:pPr>
            <w:r>
              <w:rPr>
                <w:rFonts w:hint="default"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top"/>
            <w:textDirection w:val="lrTb"/>
            <w:noWrap w:val="false"/>
          </w:tcPr>
          <w:p>
            <w:pPr>
              <w:jc w:val="left"/>
              <w:spacing w:line="480" w:lineRule="auto"/>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gridSpan w:val="4"/>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计</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bl>
    <w:p>
      <w:pPr>
        <w:jc w:val="left"/>
        <w:spacing w:line="420" w:lineRule="atLeast"/>
        <w:widowControl/>
        <w:rPr>
          <w:rFonts w:hint="eastAsia" w:ascii="宋体" w:hAnsi="宋体" w:eastAsia="宋体" w:cs="宋体"/>
          <w:color w:val="auto"/>
          <w:sz w:val="18"/>
          <w:szCs w:val="18"/>
          <w:highlight w:val="none"/>
        </w:rPr>
      </w:pP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18"/>
          <w:szCs w:val="18"/>
          <w:highlight w:val="none"/>
        </w:rPr>
        <w:t xml:space="preserve">注：本表适用于以“费率”计价的措施项目。</w:t>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bl>
      <w:tblPr>
        <w:tblStyle w:val="711"/>
        <w:tblW w:w="10407" w:type="dxa"/>
        <w:jc w:val="center"/>
        <w:tblLayout w:type="fixed"/>
        <w:tblCellMar>
          <w:left w:w="108" w:type="dxa"/>
          <w:top w:w="0" w:type="dxa"/>
          <w:right w:w="108" w:type="dxa"/>
          <w:bottom w:w="0" w:type="dxa"/>
        </w:tblCellMar>
        <w:tblLook w:val="04A0" w:firstRow="1" w:lastRow="0" w:firstColumn="1" w:lastColumn="0" w:noHBand="0" w:noVBand="1"/>
      </w:tblPr>
      <w:tblGrid>
        <w:gridCol w:w="947"/>
        <w:gridCol w:w="2685"/>
        <w:gridCol w:w="1980"/>
        <w:gridCol w:w="705"/>
        <w:gridCol w:w="1275"/>
        <w:gridCol w:w="705"/>
        <w:gridCol w:w="1258"/>
        <w:gridCol w:w="705"/>
        <w:gridCol w:w="147"/>
      </w:tblGrid>
      <w:tr>
        <w:trPr>
          <w:jc w:val="center"/>
          <w:trHeight w:val="870"/>
        </w:trPr>
        <w:tc>
          <w:tcPr>
            <w:gridSpan w:val="9"/>
            <w:tcBorders>
              <w:top w:val="none" w:color="000000" w:sz="4" w:space="0"/>
              <w:left w:val="none" w:color="000000" w:sz="4" w:space="0"/>
              <w:bottom w:val="none" w:color="000000" w:sz="4" w:space="0"/>
              <w:right w:val="none" w:color="000000" w:sz="4" w:space="0"/>
            </w:tcBorders>
            <w:tcW w:w="10407" w:type="dxa"/>
            <w:vAlign w:val="center"/>
            <w:textDirection w:val="lrTb"/>
            <w:noWrap w:val="false"/>
          </w:tcPr>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七、其他项目清单与计价汇总表</w:t>
            </w:r>
            <w:r/>
          </w:p>
          <w:p>
            <w:pPr>
              <w:ind w:right="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表7</w:t>
            </w:r>
            <w:r/>
          </w:p>
        </w:tc>
      </w:tr>
      <w:tr>
        <w:trPr>
          <w:gridAfter w:val="2"/>
          <w:jc w:val="center"/>
          <w:trHeight w:val="585"/>
        </w:trPr>
        <w:tc>
          <w:tcPr>
            <w:gridSpan w:val="2"/>
            <w:tcBorders>
              <w:top w:val="none" w:color="000000" w:sz="4" w:space="0"/>
              <w:left w:val="none" w:color="000000" w:sz="4" w:space="0"/>
              <w:bottom w:val="none" w:color="000000" w:sz="4" w:space="0"/>
              <w:right w:val="none" w:color="000000" w:sz="4" w:space="0"/>
            </w:tcBorders>
            <w:tcW w:w="3632" w:type="dxa"/>
            <w:vAlign w:val="bottom"/>
            <w:textDirection w:val="lrTb"/>
            <w:noWrap w:val="false"/>
          </w:tcPr>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标段：</w:t>
            </w:r>
            <w:r>
              <w:rPr>
                <w:rFonts w:hint="default" w:ascii="宋体" w:hAnsi="宋体" w:eastAsia="宋体" w:cs="Times New Roman"/>
                <w:color w:val="auto"/>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第</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共</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p>
        </w:tc>
      </w:tr>
      <w:tr>
        <w:trPr>
          <w:gridAfter w:val="1"/>
          <w:jc w:val="center"/>
          <w:trHeight w:val="1180"/>
        </w:trPr>
        <w:tc>
          <w:tcPr>
            <w:tcBorders>
              <w:top w:val="single" w:color="auto" w:sz="4" w:space="0"/>
              <w:left w:val="single" w:color="auto" w:sz="4" w:space="0"/>
              <w:bottom w:val="single" w:color="000000"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计量单位</w:t>
            </w:r>
            <w:r/>
          </w:p>
        </w:tc>
        <w:tc>
          <w:tcPr>
            <w:gridSpan w:val="2"/>
            <w:tcBorders>
              <w:top w:val="single" w:color="auto" w:sz="4" w:space="0"/>
              <w:left w:val="single" w:color="auto" w:sz="4" w:space="0"/>
              <w:bottom w:val="single" w:color="000000"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gridSpan w:val="2"/>
            <w:tcBorders>
              <w:top w:val="single" w:color="auto" w:sz="4" w:space="0"/>
              <w:left w:val="single" w:color="auto" w:sz="4" w:space="0"/>
              <w:bottom w:val="single" w:color="000000" w:sz="4" w:space="0"/>
              <w:right w:val="single" w:color="auto" w:sz="4" w:space="0"/>
            </w:tcBorders>
            <w:tcW w:w="1963"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gridAfter w:val="1"/>
          <w:jc w:val="center"/>
          <w:trHeight w:val="358"/>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auto"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暂列金额</w:t>
            </w:r>
            <w:r/>
          </w:p>
        </w:tc>
        <w:tc>
          <w:tcPr>
            <w:gridSpan w:val="2"/>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64"/>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暂估价</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ind w:left="-735" w:firstLine="736"/>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69"/>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材料暂估价</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46"/>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专业工程暂估价</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306"/>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计日工</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396"/>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总承包服务费</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74"/>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gridAfter w:val="1"/>
          <w:jc w:val="center"/>
          <w:trHeight w:val="250"/>
        </w:trPr>
        <w:tc>
          <w:tcPr>
            <w:gridSpan w:val="4"/>
            <w:tcBorders>
              <w:top w:val="none" w:color="000000" w:sz="4" w:space="0"/>
              <w:left w:val="single" w:color="auto" w:sz="4" w:space="0"/>
              <w:bottom w:val="single" w:color="auto" w:sz="4" w:space="0"/>
              <w:right w:val="single" w:color="auto" w:sz="4" w:space="0"/>
            </w:tcBorders>
            <w:tcW w:w="6317"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p>
        </w:tc>
      </w:tr>
    </w:tbl>
    <w:p>
      <w:pPr>
        <w:spacing w:line="4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注：材料暂估单价进入清单项目综合单价，此处不汇总。</w:t>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八</w:t>
      </w:r>
      <w:r>
        <w:rPr>
          <w:rFonts w:hint="eastAsia" w:ascii="宋体" w:hAnsi="宋体" w:eastAsia="宋体" w:cs="宋体"/>
          <w:b/>
          <w:color w:val="auto"/>
          <w:sz w:val="32"/>
          <w:szCs w:val="32"/>
          <w:highlight w:val="none"/>
        </w:rPr>
        <w:t xml:space="preserve">、暂列金额明细表</w:t>
      </w:r>
      <w:r/>
    </w:p>
    <w:p>
      <w:pPr>
        <w:jc w:val="right"/>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表8</w:t>
      </w:r>
      <w:r/>
    </w:p>
    <w:tbl>
      <w:tblPr>
        <w:tblStyle w:val="711"/>
        <w:tblW w:w="10409" w:type="dxa"/>
        <w:jc w:val="center"/>
        <w:tblLayout w:type="fixed"/>
        <w:tblCellMar>
          <w:left w:w="108" w:type="dxa"/>
          <w:top w:w="0" w:type="dxa"/>
          <w:right w:w="108" w:type="dxa"/>
          <w:bottom w:w="0" w:type="dxa"/>
        </w:tblCellMar>
        <w:tblLook w:val="04A0" w:firstRow="1" w:lastRow="0" w:firstColumn="1" w:lastColumn="0" w:noHBand="0" w:noVBand="1"/>
      </w:tblPr>
      <w:tblGrid>
        <w:gridCol w:w="1054"/>
        <w:gridCol w:w="3064"/>
        <w:gridCol w:w="1980"/>
        <w:gridCol w:w="705"/>
        <w:gridCol w:w="1275"/>
        <w:gridCol w:w="705"/>
        <w:gridCol w:w="1258"/>
        <w:gridCol w:w="368"/>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工程名称：单位工程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标段：</w:t>
            </w:r>
            <w:r>
              <w:rPr>
                <w:rFonts w:hint="default" w:ascii="宋体" w:hAnsi="宋体" w:eastAsia="宋体" w:cs="Times New Roman"/>
                <w:color w:val="auto"/>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第</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共</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p>
        </w:tc>
      </w:tr>
      <w:tr>
        <w:trPr>
          <w:jc w:val="center"/>
          <w:trHeight w:val="1180"/>
        </w:trPr>
        <w:tc>
          <w:tcPr>
            <w:tcBorders>
              <w:top w:val="single" w:color="auto" w:sz="4" w:space="0"/>
              <w:left w:val="single" w:color="auto" w:sz="4" w:space="0"/>
              <w:bottom w:val="single" w:color="000000"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gridSpan w:val="2"/>
            <w:tcBorders>
              <w:top w:val="single" w:color="auto" w:sz="4" w:space="0"/>
              <w:left w:val="single" w:color="auto" w:sz="4" w:space="0"/>
              <w:bottom w:val="single" w:color="000000" w:sz="4" w:space="0"/>
              <w:right w:val="single" w:color="auto" w:sz="4" w:space="0"/>
            </w:tcBorders>
            <w:tcW w:w="268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计量单位</w:t>
            </w:r>
            <w:r/>
          </w:p>
        </w:tc>
        <w:tc>
          <w:tcPr>
            <w:gridSpan w:val="2"/>
            <w:tcBorders>
              <w:top w:val="single" w:color="auto" w:sz="4" w:space="0"/>
              <w:left w:val="single" w:color="auto" w:sz="4" w:space="0"/>
              <w:bottom w:val="single" w:color="000000"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gridSpan w:val="2"/>
            <w:tcBorders>
              <w:top w:val="single" w:color="auto" w:sz="4" w:space="0"/>
              <w:left w:val="single" w:color="auto" w:sz="4" w:space="0"/>
              <w:bottom w:val="single" w:color="000000" w:sz="4" w:space="0"/>
              <w:right w:val="single" w:color="auto" w:sz="4" w:space="0"/>
            </w:tcBorders>
            <w:tcW w:w="162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585"/>
        </w:trPr>
        <w:tc>
          <w:tcPr>
            <w:tcBorders>
              <w:top w:val="none" w:color="000000" w:sz="4" w:space="0"/>
              <w:left w:val="single" w:color="auto" w:sz="4" w:space="0"/>
              <w:bottom w:val="single" w:color="auto"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auto" w:sz="4" w:space="0"/>
              <w:left w:val="none" w:color="000000" w:sz="4" w:space="0"/>
              <w:bottom w:val="single" w:color="auto" w:sz="4" w:space="0"/>
              <w:right w:val="single" w:color="auto" w:sz="4" w:space="0"/>
            </w:tcBorders>
            <w:tcW w:w="3064"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5"/>
        </w:trPr>
        <w:tc>
          <w:tcPr>
            <w:tcBorders>
              <w:top w:val="none" w:color="000000" w:sz="4" w:space="0"/>
              <w:left w:val="single" w:color="auto" w:sz="4" w:space="0"/>
              <w:bottom w:val="single" w:color="auto"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ind w:left="-735" w:firstLine="736"/>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gridSpan w:val="4"/>
            <w:tcBorders>
              <w:top w:val="none" w:color="000000" w:sz="4" w:space="0"/>
              <w:left w:val="single" w:color="auto" w:sz="4" w:space="0"/>
              <w:bottom w:val="single" w:color="auto" w:sz="4" w:space="0"/>
              <w:right w:val="single" w:color="auto" w:sz="4" w:space="0"/>
            </w:tcBorders>
            <w:tcW w:w="680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p>
        </w:tc>
      </w:tr>
    </w:tbl>
    <w:p>
      <w:pPr>
        <w:spacing w:line="460" w:lineRule="exact"/>
        <w:rPr>
          <w:rFonts w:hint="eastAsia" w:ascii="宋体" w:hAnsi="宋体" w:eastAsia="宋体" w:cs="Times New Roman"/>
          <w:color w:val="auto"/>
          <w:sz w:val="28"/>
          <w:szCs w:val="24"/>
          <w:highlight w:val="none"/>
        </w:rPr>
      </w:pPr>
      <w:r>
        <w:rPr>
          <w:rFonts w:hint="eastAsia" w:ascii="宋体" w:hAnsi="宋体" w:eastAsia="宋体" w:cs="宋体"/>
          <w:color w:val="auto"/>
          <w:sz w:val="18"/>
          <w:szCs w:val="18"/>
          <w:highlight w:val="none"/>
        </w:rPr>
        <w:t xml:space="preserve">注：此表由采购人填写，如不能详列，也可只列暂定金额总额，投标供应商应将暂列金额计入投标总价中。</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九、材料（工程设备）暂估单价及调整表</w:t>
      </w:r>
      <w:r/>
    </w:p>
    <w:p>
      <w:pPr>
        <w:jc w:val="righ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表9</w:t>
      </w:r>
      <w:r/>
    </w:p>
    <w:p>
      <w:pPr>
        <w:ind w:firstLine="240"/>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98"/>
        <w:gridCol w:w="1042"/>
        <w:gridCol w:w="1372"/>
        <w:gridCol w:w="943"/>
        <w:gridCol w:w="911"/>
        <w:gridCol w:w="1352"/>
        <w:gridCol w:w="1239"/>
        <w:gridCol w:w="1276"/>
        <w:gridCol w:w="236"/>
      </w:tblGrid>
      <w:tr>
        <w:trPr>
          <w:jc w:val="center"/>
          <w:trHeight w:val="460"/>
        </w:trPr>
        <w:tc>
          <w:tcPr>
            <w:tcBorders>
              <w:top w:val="single" w:color="auto" w:sz="4" w:space="0"/>
              <w:left w:val="single" w:color="auto" w:sz="4" w:space="0"/>
              <w:bottom w:val="single" w:color="auto" w:sz="4" w:space="0"/>
              <w:right w:val="single" w:color="auto" w:sz="4" w:space="0"/>
            </w:tcBorders>
            <w:tcW w:w="75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9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材料编码</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材料名称</w:t>
            </w:r>
            <w:r/>
          </w:p>
        </w:tc>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规格、型号等要求</w:t>
            </w:r>
            <w:r/>
          </w:p>
        </w:tc>
        <w:tc>
          <w:tcPr>
            <w:tcBorders>
              <w:top w:val="single" w:color="auto" w:sz="4" w:space="0"/>
              <w:left w:val="single" w:color="auto" w:sz="4" w:space="0"/>
              <w:bottom w:val="single" w:color="auto" w:sz="4" w:space="0"/>
              <w:right w:val="single" w:color="auto" w:sz="4" w:space="0"/>
            </w:tcBorders>
            <w:tcW w:w="943"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352" w:type="dxa"/>
            <w:vAlign w:val="center"/>
            <w:vMerge w:val="restart"/>
            <w:textDirection w:val="lrTb"/>
            <w:noWrap w:val="false"/>
          </w:tcPr>
          <w:p>
            <w:pPr>
              <w:ind w:right="-147"/>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23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合价（元）</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5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363"/>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356"/>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264"/>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412"/>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403"/>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840"/>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bl>
    <w:p>
      <w:pPr>
        <w:ind w:left="810" w:hanging="810"/>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注：1、此表前五栏与第七栏由采购人填写，投标供应商应填写“数量</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合价”与“合计”栏，并在工程量清单综合单价报价中按上述材料暂估单价计入。</w:t>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材料包括原材料、燃料、构配件以及按规定应计入建筑安装工程造价的设备。</w:t>
      </w:r>
      <w:r/>
    </w:p>
    <w:p>
      <w:pPr>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此表中的暂估价材料均为由承包人供应的材料。</w:t>
      </w:r>
      <w:r/>
    </w:p>
    <w:p>
      <w:pPr>
        <w:jc w:val="center"/>
        <w:spacing w:line="420" w:lineRule="atLeast"/>
        <w:widowControl/>
        <w:rPr>
          <w:rFonts w:hint="eastAsia" w:ascii="宋体" w:hAnsi="宋体" w:eastAsia="宋体" w:cs="宋体"/>
          <w:b/>
          <w:color w:val="auto"/>
          <w:sz w:val="32"/>
          <w:szCs w:val="32"/>
          <w:highlight w:val="none"/>
        </w:rPr>
      </w:pPr>
      <w:r>
        <w:rPr>
          <w:rFonts w:hint="default" w:ascii="宋体" w:hAnsi="宋体" w:eastAsia="宋体" w:cs="宋体"/>
          <w:color w:val="auto"/>
          <w:sz w:val="18"/>
          <w:szCs w:val="18"/>
          <w:highlight w:val="none"/>
        </w:rPr>
        <w:br w:type="page" w:clear="all"/>
      </w:r>
      <w:r>
        <w:rPr>
          <w:rFonts w:hint="eastAsia" w:ascii="宋体" w:hAnsi="宋体" w:eastAsia="宋体" w:cs="宋体"/>
          <w:b/>
          <w:color w:val="auto"/>
          <w:sz w:val="32"/>
          <w:szCs w:val="32"/>
          <w:highlight w:val="none"/>
        </w:rPr>
        <w:t xml:space="preserve">十、专业工程暂估价及结算价表</w:t>
      </w:r>
      <w:r/>
    </w:p>
    <w:p>
      <w:pPr>
        <w:jc w:val="right"/>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表10</w:t>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1433"/>
        <w:gridCol w:w="2685"/>
        <w:gridCol w:w="1980"/>
        <w:gridCol w:w="705"/>
        <w:gridCol w:w="1275"/>
        <w:gridCol w:w="705"/>
        <w:gridCol w:w="1258"/>
        <w:gridCol w:w="852"/>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工程名称：单位工程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标段：</w:t>
            </w:r>
            <w:r>
              <w:rPr>
                <w:rFonts w:hint="default" w:ascii="宋体" w:hAnsi="宋体" w:eastAsia="宋体" w:cs="Times New Roman"/>
                <w:color w:val="auto"/>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第</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共</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p>
        </w:tc>
      </w:tr>
      <w:tr>
        <w:trPr>
          <w:jc w:val="center"/>
          <w:trHeight w:val="1180"/>
        </w:trPr>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工程内容</w:t>
            </w:r>
            <w:r/>
          </w:p>
        </w:tc>
        <w:tc>
          <w:tcPr>
            <w:gridSpan w:val="2"/>
            <w:tcBorders>
              <w:top w:val="single" w:color="auto" w:sz="4" w:space="0"/>
              <w:left w:val="single" w:color="auto" w:sz="4" w:space="0"/>
              <w:bottom w:val="single" w:color="000000"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gridSpan w:val="2"/>
            <w:tcBorders>
              <w:top w:val="single" w:color="auto" w:sz="4" w:space="0"/>
              <w:left w:val="single" w:color="auto" w:sz="4" w:space="0"/>
              <w:bottom w:val="single" w:color="000000" w:sz="4" w:space="0"/>
              <w:right w:val="single" w:color="auto" w:sz="4" w:space="0"/>
            </w:tcBorders>
            <w:tcW w:w="211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585"/>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5"/>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ind w:left="-735" w:firstLine="736"/>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gridSpan w:val="4"/>
            <w:tcBorders>
              <w:top w:val="none" w:color="000000" w:sz="4" w:space="0"/>
              <w:left w:val="single" w:color="auto" w:sz="4" w:space="0"/>
              <w:bottom w:val="single" w:color="auto" w:sz="4" w:space="0"/>
              <w:right w:val="single" w:color="auto" w:sz="4" w:space="0"/>
            </w:tcBorders>
            <w:tcW w:w="680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p>
        </w:tc>
      </w:tr>
    </w:tbl>
    <w:p>
      <w:pPr>
        <w:spacing w:line="360" w:lineRule="auto"/>
        <w:widowControl/>
        <w:rPr>
          <w:rFonts w:hint="eastAsia" w:ascii="宋体" w:hAnsi="宋体" w:eastAsia="宋体" w:cs="Times New Roman"/>
          <w:color w:val="auto"/>
          <w:sz w:val="28"/>
          <w:szCs w:val="24"/>
          <w:highlight w:val="none"/>
        </w:rPr>
      </w:pPr>
      <w:r>
        <w:rPr>
          <w:rFonts w:hint="eastAsia" w:ascii="宋体" w:hAnsi="宋体" w:eastAsia="宋体" w:cs="宋体"/>
          <w:color w:val="auto"/>
          <w:sz w:val="18"/>
          <w:szCs w:val="18"/>
          <w:highlight w:val="none"/>
        </w:rPr>
        <w:t xml:space="preserve">注：此表由采购人填写，投标供应商应将上述专业工程暂估价计入投标总价中。</w:t>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十一、</w:t>
      </w:r>
      <w:r>
        <w:rPr>
          <w:rFonts w:hint="eastAsia" w:ascii="宋体" w:hAnsi="宋体" w:eastAsia="宋体" w:cs="宋体"/>
          <w:b/>
          <w:color w:val="auto"/>
          <w:sz w:val="32"/>
          <w:szCs w:val="32"/>
          <w:highlight w:val="none"/>
        </w:rPr>
        <w:t xml:space="preserve">计日工表</w:t>
      </w:r>
      <w:r/>
    </w:p>
    <w:p>
      <w:pPr>
        <w:jc w:val="righ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表11</w:t>
      </w:r>
      <w:r/>
    </w:p>
    <w:tbl>
      <w:tblPr>
        <w:tblStyle w:val="711"/>
        <w:tblW w:w="9900" w:type="dxa"/>
        <w:tblInd w:w="93" w:type="dxa"/>
        <w:tblLayout w:type="fixed"/>
        <w:tblCellMar>
          <w:left w:w="108" w:type="dxa"/>
          <w:top w:w="0" w:type="dxa"/>
          <w:right w:w="108" w:type="dxa"/>
          <w:bottom w:w="0" w:type="dxa"/>
        </w:tblCellMar>
        <w:tblLook w:val="04A0" w:firstRow="1" w:lastRow="0" w:firstColumn="1" w:lastColumn="0" w:noHBand="0" w:noVBand="1"/>
      </w:tblPr>
      <w:tblGrid>
        <w:gridCol w:w="560"/>
        <w:gridCol w:w="2740"/>
        <w:gridCol w:w="1100"/>
        <w:gridCol w:w="1100"/>
        <w:gridCol w:w="440"/>
        <w:gridCol w:w="680"/>
        <w:gridCol w:w="340"/>
        <w:gridCol w:w="760"/>
        <w:gridCol w:w="1100"/>
        <w:gridCol w:w="1080"/>
      </w:tblGrid>
      <w:tr>
        <w:trPr>
          <w:trHeight w:val="353"/>
        </w:trPr>
        <w:tc>
          <w:tcPr>
            <w:gridSpan w:val="5"/>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工程名称：xx工程</w:t>
            </w:r>
            <w:r/>
          </w:p>
        </w:tc>
        <w:tc>
          <w:tcPr>
            <w:gridSpan w:val="2"/>
            <w:tcBorders>
              <w:top w:val="none" w:color="000000" w:sz="4" w:space="0"/>
              <w:left w:val="none" w:color="000000" w:sz="4" w:space="0"/>
              <w:bottom w:val="single" w:color="000000" w:sz="8" w:space="0"/>
              <w:right w:val="none" w:color="000000" w:sz="4" w:space="0"/>
            </w:tcBorders>
            <w:tcW w:w="10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第1页 共1页</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56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编号</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项目名称</w:t>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暂定数量</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实际数量</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综合单价</w:t>
            </w:r>
            <w:r/>
          </w:p>
        </w:tc>
        <w:tc>
          <w:tcPr>
            <w:gridSpan w:val="2"/>
            <w:shd w:val="clear" w:color="ffffff" w:fill="ffffff"/>
            <w:tcBorders>
              <w:top w:val="single" w:color="000000" w:sz="8" w:space="0"/>
              <w:left w:val="none" w:color="000000" w:sz="4" w:space="0"/>
              <w:bottom w:val="single" w:color="000000" w:sz="4" w:space="0"/>
              <w:right w:val="single" w:color="000000" w:sz="8" w:space="0"/>
            </w:tcBorders>
            <w:tcW w:w="218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合价（元）</w:t>
            </w:r>
            <w:r/>
          </w:p>
        </w:tc>
      </w:tr>
      <w:tr>
        <w:trPr>
          <w:trHeight w:val="353"/>
        </w:trPr>
        <w:tc>
          <w:tcPr>
            <w:shd w:val="clear" w:color="auto" w:fill="auto"/>
            <w:tcBorders>
              <w:top w:val="none" w:color="000000" w:sz="4" w:space="0"/>
              <w:left w:val="single" w:color="000000" w:sz="8" w:space="0"/>
              <w:bottom w:val="single" w:color="000000" w:sz="4" w:space="0"/>
              <w:right w:val="single" w:color="000000" w:sz="4" w:space="0"/>
            </w:tcBorders>
            <w:tcW w:w="56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12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10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暂定</w:t>
            </w:r>
            <w:r/>
          </w:p>
        </w:tc>
        <w:tc>
          <w:tcPr>
            <w:shd w:val="clear" w:color="ffffff" w:fill="ffffff"/>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实际</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一</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人工</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人工小计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二</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材料</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材料小计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三</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施工机械</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机械小计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四、企业管理费和利润</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总     计</w:t>
            </w:r>
            <w:r/>
          </w:p>
        </w:tc>
        <w:tc>
          <w:tcPr>
            <w:tcBorders>
              <w:top w:val="none" w:color="000000" w:sz="4" w:space="0"/>
              <w:left w:val="none" w:color="000000" w:sz="4" w:space="0"/>
              <w:bottom w:val="single" w:color="000000" w:sz="8"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bl>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十二、总承包服务费计价表</w:t>
      </w:r>
      <w:r/>
    </w:p>
    <w:p>
      <w:pPr>
        <w:jc w:val="right"/>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表12</w:t>
      </w:r>
      <w:r/>
    </w:p>
    <w:tbl>
      <w:tblPr>
        <w:tblStyle w:val="711"/>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60"/>
        <w:gridCol w:w="1900"/>
        <w:gridCol w:w="1520"/>
        <w:gridCol w:w="1520"/>
        <w:gridCol w:w="220"/>
        <w:gridCol w:w="980"/>
        <w:gridCol w:w="320"/>
        <w:gridCol w:w="1140"/>
        <w:gridCol w:w="1500"/>
      </w:tblGrid>
      <w:tr>
        <w:trPr>
          <w:trHeight w:val="353"/>
        </w:trPr>
        <w:tc>
          <w:tcPr>
            <w:gridSpan w:val="5"/>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工程名称：xx工程</w:t>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第1页 共1页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项目价值</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元</w:t>
            </w:r>
            <w:r>
              <w:rPr>
                <w:rFonts w:hint="eastAsia" w:ascii="宋体" w:hAnsi="宋体" w:eastAsia="宋体" w:cs="Arial"/>
                <w:color w:val="auto"/>
                <w:szCs w:val="21"/>
                <w:highlight w:val="none"/>
                <w:lang w:eastAsia="zh-CN"/>
              </w:rPr>
              <w:t xml:space="preserve">）</w:t>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服务内容</w:t>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15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计算基础</w:t>
            </w:r>
            <w:r/>
          </w:p>
        </w:tc>
        <w:tc>
          <w:tcPr>
            <w:shd w:val="clear" w:color="ffffff" w:fill="ffffff"/>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费率</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w:t>
            </w:r>
            <w:r>
              <w:rPr>
                <w:rFonts w:hint="eastAsia" w:ascii="宋体" w:hAnsi="宋体" w:eastAsia="宋体" w:cs="Arial"/>
                <w:color w:val="auto"/>
                <w:szCs w:val="21"/>
                <w:highlight w:val="none"/>
                <w:lang w:eastAsia="zh-CN"/>
              </w:rPr>
              <w:t xml:space="preserve">）</w:t>
            </w:r>
            <w:r/>
          </w:p>
        </w:tc>
        <w:tc>
          <w:tcPr>
            <w:shd w:val="clear" w:color="ffffff" w:fill="ffffff"/>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金额</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元</w:t>
            </w:r>
            <w:r>
              <w:rPr>
                <w:rFonts w:hint="eastAsia" w:ascii="宋体" w:hAnsi="宋体" w:eastAsia="宋体" w:cs="Arial"/>
                <w:color w:val="auto"/>
                <w:szCs w:val="21"/>
                <w:highlight w:val="none"/>
                <w:lang w:eastAsia="zh-CN"/>
              </w:rPr>
              <w:t xml:space="preserve">）</w:t>
            </w:r>
            <w:r/>
          </w:p>
        </w:tc>
      </w:tr>
      <w:tr>
        <w:trPr>
          <w:trHeight w:val="60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发包人发包专业工程</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发包人供应材料</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r>
      <w:tr>
        <w:trPr>
          <w:trHeight w:val="469"/>
        </w:trPr>
        <w:tc>
          <w:tcPr>
            <w:tcBorders>
              <w:top w:val="none" w:color="000000" w:sz="4" w:space="0"/>
              <w:left w:val="single" w:color="000000" w:sz="8" w:space="0"/>
              <w:bottom w:val="single" w:color="000000" w:sz="8" w:space="0"/>
              <w:right w:val="single" w:color="000000" w:sz="4" w:space="0"/>
            </w:tcBorders>
            <w:tcW w:w="76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9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合  计</w:t>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3"/>
            <w:tcBorders>
              <w:top w:val="single" w:color="000000" w:sz="4" w:space="0"/>
              <w:left w:val="none" w:color="000000" w:sz="4" w:space="0"/>
              <w:bottom w:val="single" w:color="000000" w:sz="8"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14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bl>
    <w:p>
      <w:pPr>
        <w:jc w:val="center"/>
        <w:rPr>
          <w:rFonts w:hint="default" w:ascii="宋体" w:hAnsi="宋体" w:eastAsia="宋体" w:cs="宋体"/>
          <w:b/>
          <w:color w:val="auto"/>
          <w:sz w:val="32"/>
          <w:szCs w:val="32"/>
          <w:highlight w:val="none"/>
        </w:rPr>
      </w:pPr>
      <w:r>
        <w:rPr>
          <w:rFonts w:hint="default"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十三、</w:t>
      </w:r>
      <w:r>
        <w:rPr>
          <w:rFonts w:hint="eastAsia" w:ascii="宋体" w:hAnsi="宋体" w:eastAsia="宋体" w:cs="宋体"/>
          <w:b/>
          <w:color w:val="auto"/>
          <w:sz w:val="32"/>
          <w:szCs w:val="32"/>
          <w:highlight w:val="none"/>
        </w:rPr>
        <w:t xml:space="preserve">规费、税金项目计价表</w:t>
      </w:r>
      <w:r/>
    </w:p>
    <w:p>
      <w:pPr>
        <w:jc w:val="right"/>
        <w:rPr>
          <w:rFonts w:hint="default"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表13</w:t>
      </w:r>
      <w:r/>
    </w:p>
    <w:p>
      <w:pPr>
        <w:jc w:val="left"/>
        <w:spacing w:line="420" w:lineRule="atLeas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240"/>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                     标段：                   第  页 共  页</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544"/>
        <w:gridCol w:w="2645"/>
        <w:gridCol w:w="1344"/>
        <w:gridCol w:w="1551"/>
        <w:gridCol w:w="236"/>
      </w:tblGrid>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44"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45"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计算基础</w:t>
            </w:r>
            <w:r/>
          </w:p>
        </w:tc>
        <w:tc>
          <w:tcPr>
            <w:tcBorders>
              <w:top w:val="single" w:color="auto" w:sz="4" w:space="0"/>
              <w:left w:val="single" w:color="auto" w:sz="4" w:space="0"/>
              <w:bottom w:val="single" w:color="auto" w:sz="4" w:space="0"/>
              <w:right w:val="single" w:color="auto" w:sz="4" w:space="0"/>
            </w:tcBorders>
            <w:tcW w:w="1344"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  率（%）</w:t>
            </w:r>
            <w:r/>
          </w:p>
        </w:tc>
        <w:tc>
          <w:tcPr>
            <w:tcBorders>
              <w:top w:val="single" w:color="auto" w:sz="4" w:space="0"/>
              <w:left w:val="single" w:color="auto" w:sz="4" w:space="0"/>
              <w:bottom w:val="single" w:color="auto" w:sz="4" w:space="0"/>
              <w:right w:val="single" w:color="auto" w:sz="4" w:space="0"/>
            </w:tcBorders>
            <w:tcW w:w="1551"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  额（元）</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29"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44"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5"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44"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1"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规费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工程排污费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安全生产监督费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社会保障费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住房公积金</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分部分项工程费+措施项目费+其他项目费+规费</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gridSpan w:val="4"/>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bl>
    <w:p>
      <w:pPr>
        <w:jc w:val="center"/>
        <w:rPr>
          <w:rFonts w:hint="default"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十四、发包人提供材料和工程设备一览表</w:t>
      </w:r>
      <w:r/>
    </w:p>
    <w:p>
      <w:pPr>
        <w:jc w:val="righ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表14</w:t>
      </w:r>
      <w:r/>
    </w:p>
    <w:p>
      <w:pPr>
        <w:ind w:firstLine="240"/>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298"/>
        <w:gridCol w:w="1042"/>
        <w:gridCol w:w="1372"/>
        <w:gridCol w:w="679"/>
        <w:gridCol w:w="719"/>
        <w:gridCol w:w="936"/>
        <w:gridCol w:w="1105"/>
        <w:gridCol w:w="1276"/>
        <w:gridCol w:w="236"/>
      </w:tblGrid>
      <w:tr>
        <w:trPr>
          <w:jc w:val="center"/>
          <w:trHeight w:val="460"/>
        </w:trPr>
        <w:tc>
          <w:tcPr>
            <w:tcBorders>
              <w:top w:val="single" w:color="auto" w:sz="4" w:space="0"/>
              <w:left w:val="single" w:color="auto" w:sz="4" w:space="0"/>
              <w:bottom w:val="single" w:color="auto" w:sz="4" w:space="0"/>
              <w:right w:val="single" w:color="auto" w:sz="4" w:space="0"/>
            </w:tcBorders>
            <w:tcW w:w="531"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9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材料编码</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材料名称</w:t>
            </w:r>
            <w:r/>
          </w:p>
        </w:tc>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规格、型号等要求</w:t>
            </w:r>
            <w:r/>
          </w:p>
        </w:tc>
        <w:tc>
          <w:tcPr>
            <w:tcBorders>
              <w:top w:val="single" w:color="auto" w:sz="4" w:space="0"/>
              <w:left w:val="single" w:color="auto" w:sz="4" w:space="0"/>
              <w:bottom w:val="single" w:color="auto" w:sz="4" w:space="0"/>
              <w:right w:val="single" w:color="auto" w:sz="4" w:space="0"/>
            </w:tcBorders>
            <w:tcW w:w="67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1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105"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合价（元）</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531"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86"/>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小计</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bl>
    <w:p>
      <w:pPr>
        <w:ind w:left="630" w:hanging="630"/>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注：1、此表前五栏与第七栏由采购人填写，投标供应商应填写“数量</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合价”与“合计”栏，并在工程量清单综合单价报价中按上述材料单价计入。</w:t>
      </w:r>
      <w:r/>
    </w:p>
    <w:p>
      <w:pPr>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材料包括原材料、燃料、构配件以及按规定应计入建筑安装工程造价的设备。</w:t>
      </w:r>
      <w:r/>
    </w:p>
    <w:p>
      <w:pPr>
        <w:jc w:val="center"/>
        <w:spacing w:line="420" w:lineRule="atLeast"/>
        <w:widowControl/>
        <w:rPr>
          <w:rFonts w:hint="eastAsia" w:ascii="宋体" w:hAnsi="宋体" w:eastAsia="宋体" w:cs="宋体"/>
          <w:b/>
          <w:color w:val="auto"/>
          <w:sz w:val="32"/>
          <w:szCs w:val="32"/>
          <w:highlight w:val="none"/>
        </w:rPr>
      </w:pPr>
      <w:r>
        <w:rPr>
          <w:rFonts w:hint="default" w:ascii="宋体" w:hAnsi="宋体" w:eastAsia="宋体" w:cs="宋体"/>
          <w:color w:val="auto"/>
          <w:sz w:val="18"/>
          <w:szCs w:val="18"/>
          <w:highlight w:val="none"/>
        </w:rPr>
        <w:br w:type="page" w:clear="all"/>
      </w:r>
      <w:r>
        <w:rPr>
          <w:rFonts w:hint="default" w:ascii="宋体" w:hAnsi="宋体" w:eastAsia="宋体" w:cs="宋体"/>
          <w:b/>
          <w:color w:val="auto"/>
          <w:sz w:val="32"/>
          <w:szCs w:val="32"/>
          <w:highlight w:val="none"/>
        </w:rPr>
        <w:t xml:space="preserve">十五、</w:t>
      </w:r>
      <w:r>
        <w:rPr>
          <w:rFonts w:hint="eastAsia" w:ascii="宋体" w:hAnsi="宋体" w:eastAsia="宋体" w:cs="宋体"/>
          <w:b/>
          <w:color w:val="auto"/>
          <w:sz w:val="32"/>
          <w:szCs w:val="32"/>
          <w:highlight w:val="none"/>
        </w:rPr>
        <w:t xml:space="preserve">承包人提供主要材料和工程设备一览表</w:t>
      </w:r>
      <w:r/>
    </w:p>
    <w:p>
      <w:pPr>
        <w:ind w:left="2"/>
        <w:jc w:val="righ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表15</w:t>
      </w:r>
      <w:r/>
    </w:p>
    <w:p>
      <w:pPr>
        <w:ind w:left="2"/>
        <w:jc w:val="left"/>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                       标段：                    第  页 共  页</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800"/>
        <w:gridCol w:w="1980"/>
        <w:gridCol w:w="900"/>
        <w:gridCol w:w="900"/>
        <w:gridCol w:w="900"/>
        <w:gridCol w:w="1080"/>
      </w:tblGrid>
      <w:tr>
        <w:trPr>
          <w:jc w:val="center"/>
          <w:trHeight w:val="839"/>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材料编码</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材料名称</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等要求</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合价（元）</w:t>
            </w:r>
            <w:r/>
          </w:p>
        </w:tc>
      </w:tr>
      <w:tr>
        <w:trPr>
          <w:jc w:val="center"/>
          <w:trHeight w:val="378"/>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404"/>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396"/>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bl>
    <w:p>
      <w:pPr>
        <w:ind w:right="420"/>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w:t>
      </w:r>
      <w:r>
        <w:rPr>
          <w:rFonts w:hint="default" w:ascii="宋体" w:hAnsi="宋体" w:eastAsia="宋体" w:cs="Times New Roman"/>
          <w:color w:val="auto"/>
          <w:sz w:val="18"/>
          <w:szCs w:val="18"/>
          <w:highlight w:val="none"/>
        </w:rPr>
        <w:t xml:space="preserve">1</w:t>
      </w:r>
      <w:r>
        <w:rPr>
          <w:rFonts w:hint="eastAsia" w:ascii="宋体" w:hAnsi="宋体" w:eastAsia="宋体" w:cs="宋体"/>
          <w:color w:val="auto"/>
          <w:sz w:val="18"/>
          <w:szCs w:val="18"/>
          <w:highlight w:val="none"/>
        </w:rPr>
        <w:t xml:space="preserve">、此表由投标供应商填写。</w:t>
      </w:r>
      <w:r/>
    </w:p>
    <w:p>
      <w:pPr>
        <w:ind w:right="420" w:firstLine="345"/>
        <w:jc w:val="left"/>
        <w:spacing w:line="420" w:lineRule="atLeast"/>
        <w:widowControl/>
        <w:rPr>
          <w:rFonts w:hint="eastAsia" w:cs="宋体"/>
          <w:color w:val="auto"/>
          <w:sz w:val="18"/>
          <w:szCs w:val="18"/>
          <w:highlight w:val="none"/>
        </w:rPr>
      </w:pPr>
      <w:r>
        <w:rPr>
          <w:rFonts w:hint="eastAsia" w:ascii="宋体" w:hAnsi="宋体" w:eastAsia="宋体" w:cs="Times New Roman"/>
          <w:color w:val="auto"/>
          <w:sz w:val="18"/>
          <w:szCs w:val="18"/>
          <w:highlight w:val="none"/>
          <w:lang w:eastAsia="zh-CN"/>
        </w:rPr>
        <w:t xml:space="preserve">2.</w:t>
      </w:r>
      <w:r>
        <w:rPr>
          <w:rFonts w:hint="eastAsia" w:ascii="宋体" w:hAnsi="宋体" w:eastAsia="宋体" w:cs="宋体"/>
          <w:color w:val="auto"/>
          <w:sz w:val="18"/>
          <w:szCs w:val="18"/>
          <w:highlight w:val="none"/>
        </w:rPr>
        <w:t xml:space="preserve">此表中不包括由承包人提供的暂估价格材料。</w:t>
      </w:r>
      <w:r/>
    </w:p>
    <w:p>
      <w:pPr>
        <w:jc w:val="center"/>
        <w:spacing w:line="400" w:lineRule="exact"/>
        <w:rPr>
          <w:rFonts w:hint="eastAsia" w:ascii="黑体" w:eastAsia="黑体" w:cs="宋体"/>
          <w:b/>
          <w:color w:val="auto"/>
          <w:sz w:val="32"/>
          <w:szCs w:val="32"/>
          <w:highlight w:val="none"/>
        </w:rPr>
        <w:outlineLvl w:val="9"/>
      </w:pPr>
      <w:r>
        <w:rPr>
          <w:rFonts w:hint="eastAsia" w:ascii="黑体" w:eastAsia="黑体" w:cs="宋体"/>
          <w:b/>
          <w:color w:val="auto"/>
          <w:sz w:val="32"/>
          <w:szCs w:val="32"/>
          <w:highlight w:val="none"/>
        </w:rPr>
      </w:r>
      <w:r/>
    </w:p>
    <w:p>
      <w:pPr>
        <w:rPr>
          <w:rFonts w:hint="eastAsia" w:eastAsia="黑体"/>
          <w:bCs/>
          <w:color w:val="auto"/>
          <w:sz w:val="24"/>
          <w:szCs w:val="24"/>
          <w:highlight w:val="none"/>
          <w:lang w:eastAsia="zh-CN"/>
        </w:rPr>
      </w:pPr>
      <w:r>
        <w:rPr>
          <w:rFonts w:ascii="黑体" w:eastAsia="黑体" w:cs="宋体"/>
          <w:b/>
          <w:color w:val="auto"/>
          <w:sz w:val="32"/>
          <w:szCs w:val="32"/>
          <w:highlight w:val="none"/>
        </w:rPr>
        <w:br w:type="page" w:clear="all"/>
      </w:r>
      <w:r/>
    </w:p>
    <w:p>
      <w:pPr>
        <w:jc w:val="both"/>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十九</w:t>
      </w:r>
      <w:r>
        <w:rPr>
          <w:rFonts w:eastAsia="黑体"/>
          <w:bCs/>
          <w:color w:val="auto"/>
          <w:sz w:val="24"/>
          <w:szCs w:val="24"/>
          <w:highlight w:val="none"/>
        </w:rPr>
        <w:t xml:space="preserve">）</w:t>
      </w:r>
      <w:r>
        <w:rPr>
          <w:rFonts w:hint="eastAsia" w:eastAsia="黑体"/>
          <w:bCs/>
          <w:color w:val="auto"/>
          <w:sz w:val="24"/>
          <w:szCs w:val="24"/>
          <w:highlight w:val="none"/>
        </w:rPr>
        <w:t xml:space="preserve">质量及服务、优惠条件承诺（格式）</w:t>
      </w:r>
      <w:r/>
    </w:p>
    <w:p>
      <w:pPr>
        <w:jc w:val="center"/>
        <w:rPr>
          <w:rFonts w:eastAsia="黑体"/>
          <w:bCs/>
          <w:color w:val="auto"/>
          <w:sz w:val="24"/>
          <w:szCs w:val="24"/>
          <w:highlight w:val="none"/>
        </w:rPr>
      </w:pPr>
      <w:r>
        <w:rPr>
          <w:rFonts w:eastAsia="黑体"/>
          <w:bCs/>
          <w:color w:val="auto"/>
          <w:sz w:val="24"/>
          <w:szCs w:val="24"/>
          <w:highlight w:val="none"/>
        </w:rPr>
      </w:r>
      <w:r/>
    </w:p>
    <w:p>
      <w:pPr>
        <w:jc w:val="center"/>
        <w:rPr>
          <w:bCs/>
          <w:color w:val="auto"/>
          <w:sz w:val="24"/>
          <w:szCs w:val="24"/>
          <w:highlight w:val="none"/>
        </w:rPr>
      </w:pPr>
      <w:r>
        <w:rPr>
          <w:bCs/>
          <w:color w:val="auto"/>
          <w:sz w:val="24"/>
          <w:szCs w:val="24"/>
          <w:highlight w:val="none"/>
        </w:rPr>
      </w:r>
      <w:r/>
    </w:p>
    <w:p>
      <w:pPr>
        <w:jc w:val="center"/>
        <w:rPr>
          <w:rFonts w:ascii="宋体" w:hAnsi="宋体"/>
          <w:b/>
          <w:bCs/>
          <w:color w:val="auto"/>
          <w:sz w:val="28"/>
          <w:szCs w:val="28"/>
          <w:highlight w:val="none"/>
        </w:rPr>
      </w:pPr>
      <w:r/>
      <w:bookmarkStart w:id="17" w:name="_Hlk70347099"/>
      <w:r>
        <w:rPr>
          <w:rFonts w:hint="eastAsia" w:ascii="宋体" w:hAnsi="宋体"/>
          <w:b/>
          <w:bCs/>
          <w:color w:val="auto"/>
          <w:sz w:val="28"/>
          <w:szCs w:val="28"/>
          <w:highlight w:val="none"/>
        </w:rPr>
        <w:t xml:space="preserve">质量及服务、优惠条件承诺</w:t>
      </w:r>
      <w:bookmarkEnd w:id="17"/>
      <w:r/>
      <w:r/>
    </w:p>
    <w:p>
      <w:pPr>
        <w:ind w:firstLine="3150"/>
        <w:rPr>
          <w:rFonts w:hint="eastAsia"/>
          <w:color w:val="auto"/>
          <w:highlight w:val="none"/>
        </w:rPr>
      </w:pPr>
      <w:r>
        <w:rPr>
          <w:rFonts w:hint="eastAsia"/>
          <w:color w:val="auto"/>
          <w:highlight w:val="none"/>
        </w:rPr>
      </w:r>
      <w:r/>
    </w:p>
    <w:p>
      <w:pPr>
        <w:ind w:firstLine="12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投标供应商就本次绿化养护作业采购项目的承诺如下：</w:t>
      </w:r>
      <w:r/>
    </w:p>
    <w:p>
      <w:pPr>
        <w:ind w:firstLine="21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1"/>
          <w:numId w:val="16"/>
        </w:numPr>
        <w:ind w:left="900" w:hanging="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绿化养护作业质量承诺：</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1"/>
          <w:numId w:val="16"/>
        </w:numPr>
        <w:ind w:left="900" w:hanging="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绿化养护作业服务承诺：</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1"/>
          <w:numId w:val="16"/>
        </w:numPr>
        <w:ind w:left="900" w:hanging="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绿化养护作业优惠条件承诺：</w:t>
      </w:r>
      <w:r/>
    </w:p>
    <w:p>
      <w:pPr>
        <w:rPr>
          <w:rFonts w:hint="eastAsia" w:ascii="宋体" w:hAnsi="宋体" w:eastAsia="宋体" w:cs="黑体"/>
          <w:bCs/>
          <w:color w:val="auto"/>
          <w:sz w:val="24"/>
          <w:szCs w:val="24"/>
          <w:highlight w:val="none"/>
        </w:rPr>
      </w:pPr>
      <w:r>
        <w:rPr>
          <w:rFonts w:hint="eastAsia" w:ascii="宋体" w:hAnsi="宋体" w:eastAsia="宋体" w:cs="黑体"/>
          <w:bCs/>
          <w:color w:val="auto"/>
          <w:sz w:val="24"/>
          <w:szCs w:val="24"/>
          <w:highlight w:val="none"/>
        </w:rPr>
      </w:r>
      <w:r/>
    </w:p>
    <w:p>
      <w:pPr>
        <w:ind w:left="420"/>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left="420"/>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投标供应商（全称并加盖公章）：</w:t>
      </w:r>
      <w:r/>
    </w:p>
    <w:p>
      <w:pPr>
        <w:ind w:left="420" w:firstLine="192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rPr>
          <w:rFonts w:eastAsia="黑体"/>
          <w:bCs/>
          <w:color w:val="auto"/>
          <w:sz w:val="24"/>
          <w:szCs w:val="24"/>
          <w:highlight w:val="none"/>
        </w:rPr>
      </w:pPr>
      <w:r>
        <w:rPr>
          <w:rFonts w:hint="eastAsia" w:ascii="宋体" w:hAnsi="宋体" w:eastAsia="宋体" w:cs="Times New Roman"/>
          <w:color w:val="auto"/>
          <w:sz w:val="24"/>
          <w:szCs w:val="24"/>
          <w:highlight w:val="none"/>
        </w:rPr>
        <w:t xml:space="preserve">日   期：</w:t>
      </w:r>
      <w:r>
        <w:rPr>
          <w:rFonts w:eastAsia="黑体"/>
          <w:bCs/>
          <w:color w:val="auto"/>
          <w:sz w:val="24"/>
          <w:szCs w:val="24"/>
          <w:highlight w:val="none"/>
        </w:rPr>
        <w:br w:type="page" w:clear="all"/>
      </w:r>
      <w:r/>
    </w:p>
    <w:p>
      <w:pPr>
        <w:jc w:val="both"/>
        <w:rPr>
          <w:rFonts w:hint="default" w:ascii="Times New Roman" w:hAnsi="Times New Roman" w:eastAsia="黑体" w:cs="Times New Roman"/>
          <w:bCs/>
          <w:color w:val="auto"/>
          <w:sz w:val="24"/>
          <w:szCs w:val="24"/>
          <w:highlight w:val="none"/>
        </w:rPr>
      </w:pPr>
      <w:r>
        <w:rPr>
          <w:rFonts w:hint="eastAsia" w:ascii="Times New Roman" w:hAnsi="Times New Roman" w:eastAsia="黑体" w:cs="Times New Roman"/>
          <w:bCs/>
          <w:color w:val="auto"/>
          <w:sz w:val="24"/>
          <w:szCs w:val="24"/>
          <w:highlight w:val="none"/>
        </w:rPr>
        <w:t xml:space="preserve">（</w:t>
      </w:r>
      <w:r>
        <w:rPr>
          <w:rFonts w:hint="eastAsia" w:ascii="Times New Roman" w:hAnsi="Times New Roman" w:eastAsia="黑体" w:cs="Times New Roman"/>
          <w:bCs/>
          <w:color w:val="auto"/>
          <w:sz w:val="24"/>
          <w:szCs w:val="24"/>
          <w:highlight w:val="none"/>
          <w:lang w:val="en-US" w:eastAsia="zh-CN"/>
        </w:rPr>
        <w:t xml:space="preserve">二十</w:t>
      </w:r>
      <w:r>
        <w:rPr>
          <w:rFonts w:hint="eastAsia" w:ascii="Times New Roman" w:hAnsi="Times New Roman" w:eastAsia="黑体" w:cs="Times New Roman"/>
          <w:bCs/>
          <w:color w:val="auto"/>
          <w:sz w:val="24"/>
          <w:szCs w:val="24"/>
          <w:highlight w:val="none"/>
        </w:rPr>
        <w:t xml:space="preserve">）中标标段优先顺序承诺函（格式）</w:t>
      </w:r>
      <w:r/>
    </w:p>
    <w:p>
      <w:pPr>
        <w:ind w:firstLine="492"/>
        <w:jc w:val="center"/>
        <w:spacing w:line="360" w:lineRule="auto"/>
        <w:rPr>
          <w:rFonts w:hint="eastAsia" w:ascii="宋体" w:hAnsi="宋体" w:eastAsia="宋体" w:cs="Times New Roman"/>
          <w:b/>
          <w:bCs/>
          <w:color w:val="auto"/>
          <w:sz w:val="28"/>
          <w:szCs w:val="28"/>
          <w:highlight w:val="none"/>
        </w:rPr>
        <w:outlineLvl w:val="9"/>
      </w:pPr>
      <w:r>
        <w:rPr>
          <w:rFonts w:hint="eastAsia" w:ascii="宋体" w:hAnsi="宋体" w:eastAsia="宋体" w:cs="Times New Roman"/>
          <w:b/>
          <w:bCs/>
          <w:color w:val="auto"/>
          <w:sz w:val="28"/>
          <w:szCs w:val="28"/>
          <w:highlight w:val="none"/>
        </w:rPr>
        <w:t xml:space="preserve">中标标段优先顺序承诺函</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 xml:space="preserve">致：</w:t>
      </w:r>
      <w:r>
        <w:rPr>
          <w:rFonts w:hint="eastAsia" w:ascii="宋体" w:hAnsi="宋体" w:eastAsia="宋体" w:cs="Times New Roman"/>
          <w:b/>
          <w:bCs/>
          <w:color w:val="auto"/>
          <w:sz w:val="24"/>
          <w:szCs w:val="24"/>
          <w:highlight w:val="none"/>
          <w:u w:val="single"/>
        </w:rPr>
        <w:t xml:space="preserve">无锡市滨湖区城市管理局：</w:t>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1</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我公司完全理解</w:t>
      </w:r>
      <w:r>
        <w:rPr>
          <w:rFonts w:hint="eastAsia" w:ascii="宋体" w:hAnsi="宋体" w:eastAsia="宋体" w:cs="Times New Roman"/>
          <w:color w:val="auto"/>
          <w:sz w:val="24"/>
          <w:szCs w:val="24"/>
          <w:highlight w:val="none"/>
        </w:rPr>
        <w:t xml:space="preserve">本次招标最多可中一个标段的要求。</w:t>
      </w:r>
      <w:r>
        <w:rPr>
          <w:rFonts w:hint="eastAsia" w:ascii="宋体" w:hAnsi="宋体" w:eastAsia="宋体" w:cs="Times New Roman"/>
          <w:bCs/>
          <w:color w:val="auto"/>
          <w:sz w:val="24"/>
          <w:szCs w:val="24"/>
          <w:highlight w:val="none"/>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如果我公司经评委评审后在2个标段评分排名均为第一名时，我公司愿意按照下表的优先顺序选择排列于前的标段中标，放弃其余标段的中标权。</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中标优先顺序</w:t>
            </w:r>
            <w:r/>
          </w:p>
        </w:tc>
        <w:tc>
          <w:tcPr>
            <w:tcW w:w="3133"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标段</w:t>
            </w:r>
            <w:r/>
          </w:p>
        </w:tc>
        <w:tc>
          <w:tcPr>
            <w:tcW w:w="3133"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名称及地点</w:t>
            </w:r>
            <w:r/>
          </w:p>
        </w:tc>
      </w:tr>
      <w:tr>
        <w:trPr>
          <w:jc w:val="center"/>
          <w:trHeight w:val="447"/>
        </w:trPr>
        <w:tc>
          <w:tcPr>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p>
        </w:tc>
        <w:tc>
          <w:tcPr>
            <w:tcW w:w="3133" w:type="dxa"/>
            <w:vAlign w:val="center"/>
            <w:textDirection w:val="lrTb"/>
            <w:noWrap w:val="false"/>
          </w:tcPr>
          <w:p>
            <w:pPr>
              <w:ind w:firstLine="560"/>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jc w:val="center"/>
          <w:trHeight w:val="454"/>
        </w:trPr>
        <w:tc>
          <w:tcPr>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p>
        </w:tc>
        <w:tc>
          <w:tcPr>
            <w:tcW w:w="3133" w:type="dxa"/>
            <w:vAlign w:val="center"/>
            <w:textDirection w:val="lrTb"/>
            <w:noWrap w:val="false"/>
          </w:tcPr>
          <w:p>
            <w:pPr>
              <w:ind w:firstLine="560"/>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bl>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60"/>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投标供应商（全称并加盖公章）：</w:t>
      </w:r>
      <w:r/>
    </w:p>
    <w:p>
      <w:pPr>
        <w:spacing w:line="360" w:lineRule="auto"/>
        <w:rPr>
          <w:rFonts w:hint="eastAsia" w:eastAsia="黑体"/>
          <w:bCs/>
          <w:color w:val="auto"/>
          <w:sz w:val="24"/>
          <w:szCs w:val="24"/>
          <w:highlight w:val="none"/>
          <w:lang w:eastAsia="zh-CN"/>
        </w:rPr>
      </w:pPr>
      <w:r>
        <w:rPr>
          <w:rFonts w:hint="eastAsia" w:eastAsia="黑体"/>
          <w:bCs/>
          <w:color w:val="auto"/>
          <w:sz w:val="24"/>
          <w:szCs w:val="24"/>
          <w:highlight w:val="none"/>
          <w:lang w:eastAsia="zh-CN"/>
        </w:rPr>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pStyle w:val="712"/>
        <w:rPr>
          <w:rFonts w:hint="eastAsia"/>
          <w:color w:val="auto"/>
          <w:highlight w:val="none"/>
          <w:lang w:eastAsia="zh-CN"/>
        </w:rPr>
      </w:pPr>
      <w:r>
        <w:rPr>
          <w:rFonts w:hint="eastAsia"/>
          <w:color w:val="auto"/>
          <w:highlight w:val="none"/>
          <w:lang w:eastAsia="zh-CN"/>
        </w:rPr>
      </w:r>
      <w:r/>
    </w:p>
    <w:p>
      <w:pPr>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二十一</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rFonts w:hint="default" w:eastAsia="宋体"/>
          <w:b/>
          <w:bCs/>
          <w:color w:val="auto"/>
          <w:sz w:val="24"/>
          <w:szCs w:val="24"/>
          <w:highlight w:val="none"/>
          <w:lang w:val="en-US" w:eastAsia="zh-CN"/>
        </w:rPr>
      </w:pPr>
      <w:r>
        <w:rPr>
          <w:b/>
          <w:bCs/>
          <w:color w:val="auto"/>
          <w:sz w:val="24"/>
          <w:szCs w:val="24"/>
          <w:highlight w:val="none"/>
        </w:rPr>
        <w:t xml:space="preserve">技术方案</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格式自拟）</w:t>
      </w:r>
      <w:r/>
    </w:p>
    <w:p>
      <w:pPr>
        <w:pStyle w:val="1014"/>
        <w:ind w:firstLine="0"/>
        <w:rPr>
          <w:color w:val="auto"/>
          <w:sz w:val="24"/>
          <w:highlight w:val="none"/>
        </w:rPr>
      </w:pPr>
      <w:r>
        <w:rPr>
          <w:color w:val="auto"/>
          <w:sz w:val="24"/>
          <w:highlight w:val="none"/>
        </w:rPr>
        <w:t xml:space="preserve">投标供应商应按评分点编制完整的服务方案，以便评审。</w:t>
      </w:r>
      <w:r/>
    </w:p>
    <w:p>
      <w:pPr>
        <w:pStyle w:val="1014"/>
        <w:ind w:firstLine="0"/>
        <w:rPr>
          <w:color w:val="auto"/>
          <w:sz w:val="24"/>
          <w:highlight w:val="none"/>
        </w:rPr>
      </w:pPr>
      <w:r>
        <w:rPr>
          <w:color w:val="auto"/>
          <w:sz w:val="24"/>
          <w:highlight w:val="none"/>
        </w:rPr>
      </w:r>
      <w:r/>
    </w:p>
    <w:p>
      <w:pPr>
        <w:rPr>
          <w:rFonts w:eastAsia="黑体"/>
          <w:bCs/>
          <w:color w:val="auto"/>
          <w:sz w:val="24"/>
          <w:szCs w:val="24"/>
          <w:highlight w:val="none"/>
        </w:rPr>
      </w:pPr>
      <w:r>
        <w:rPr>
          <w:rFonts w:eastAsia="黑体"/>
          <w:bCs/>
          <w:color w:val="auto"/>
          <w:sz w:val="24"/>
          <w:szCs w:val="24"/>
          <w:highlight w:val="none"/>
        </w:rPr>
      </w:r>
      <w:r/>
    </w:p>
    <w:p>
      <w:pPr>
        <w:rPr>
          <w:color w:val="auto"/>
          <w:highlight w:val="none"/>
        </w:rPr>
      </w:pPr>
      <w:r>
        <w:rPr>
          <w:color w:val="auto"/>
          <w:highlight w:val="none"/>
        </w:rPr>
      </w:r>
      <w:r/>
    </w:p>
    <w:p>
      <w:pPr>
        <w:pStyle w:val="712"/>
        <w:rPr>
          <w:color w:val="auto"/>
          <w:highlight w:val="none"/>
        </w:rPr>
      </w:pPr>
      <w:r>
        <w:rPr>
          <w:color w:val="auto"/>
          <w:highlight w:val="none"/>
        </w:rPr>
      </w:r>
      <w:r/>
    </w:p>
    <w:p>
      <w:pPr>
        <w:pStyle w:val="713"/>
        <w:rPr>
          <w:color w:val="auto"/>
          <w:highlight w:val="none"/>
        </w:rPr>
      </w:pPr>
      <w:r>
        <w:rPr>
          <w:color w:val="auto"/>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hint="eastAsia" w:ascii="宋体" w:hAnsi="宋体" w:eastAsia="黑体" w:cs="Times New Roman"/>
          <w:b/>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二十二</w:t>
      </w:r>
      <w:r>
        <w:rPr>
          <w:rFonts w:eastAsia="黑体"/>
          <w:bCs/>
          <w:color w:val="auto"/>
          <w:sz w:val="24"/>
          <w:szCs w:val="24"/>
          <w:highlight w:val="none"/>
        </w:rPr>
        <w:t xml:space="preserve">）</w:t>
      </w:r>
      <w:r>
        <w:rPr>
          <w:rFonts w:hint="eastAsia" w:eastAsia="黑体"/>
          <w:bCs/>
          <w:color w:val="auto"/>
          <w:sz w:val="24"/>
          <w:szCs w:val="24"/>
          <w:highlight w:val="none"/>
        </w:rPr>
        <w:t xml:space="preserve">工程量清单（</w:t>
      </w:r>
      <w:r>
        <w:rPr>
          <w:rFonts w:hint="eastAsia" w:eastAsia="黑体"/>
          <w:bCs/>
          <w:color w:val="auto"/>
          <w:sz w:val="24"/>
          <w:szCs w:val="24"/>
          <w:highlight w:val="none"/>
          <w:lang w:val="en-US" w:eastAsia="zh-CN"/>
        </w:rPr>
        <w:t xml:space="preserve">详见附件</w:t>
      </w:r>
      <w:r>
        <w:rPr>
          <w:rFonts w:hint="eastAsia" w:eastAsia="黑体"/>
          <w:bCs/>
          <w:color w:val="auto"/>
          <w:sz w:val="24"/>
          <w:szCs w:val="24"/>
          <w:highlight w:val="none"/>
        </w:rPr>
        <w:t xml:space="preserve">）</w:t>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等线">
    <w:panose1 w:val="02010600030101010101"/>
  </w:font>
  <w:font w:name="仿宋">
    <w:panose1 w:val="02010609060101010101"/>
  </w:font>
  <w:font w:name="Calibri Light">
    <w:panose1 w:val="020F0302020204030204"/>
  </w:font>
  <w:font w:name="Cambria Math">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524" w:leader="none"/>
        <w:tab w:val="right" w:pos="9048" w:leader="none"/>
      </w:tabs>
    </w:pPr>
    <w:r>
      <w:rPr>
        <w:rFonts w:hint="eastAsia" w:ascii="宋体" w:hAnsi="宋体"/>
        <w:lang w:val="en-US" w:eastAsia="zh-CN"/>
      </w:rPr>
      <w:t xml:space="preserve">项目编号：</w:t>
    </w:r>
    <w:r>
      <w:rPr>
        <w:rFonts w:hint="eastAsia" w:ascii="宋体" w:hAnsi="宋体"/>
        <w:lang w:eastAsia="zh-CN"/>
      </w:rPr>
      <w:t xml:space="preserve">JSZC-320211-BJZC-G2026-0007</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2026年滨湖区区管绿化老设施养护服务项目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2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57"/>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9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1"/>
      <w:numFmt w:val="decimal"/>
      <w:isLgl w:val="false"/>
      <w:suff w:val="tab"/>
      <w:lvlText w:val="%1."/>
      <w:lvlJc w:val="left"/>
      <w:pPr>
        <w:ind w:left="630" w:hanging="420"/>
        <w:tabs>
          <w:tab w:val="left" w:pos="630" w:leader="none"/>
        </w:tabs>
      </w:pPr>
    </w:lvl>
    <w:lvl w:ilvl="1">
      <w:start w:val="1"/>
      <w:numFmt w:val="japaneseCounting"/>
      <w:isLgl w:val="false"/>
      <w:suff w:val="tab"/>
      <w:lvlText w:val="%2、"/>
      <w:lvlJc w:val="left"/>
      <w:pPr>
        <w:ind w:left="900" w:hanging="480"/>
        <w:tabs>
          <w:tab w:val="left" w:pos="90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EnclosedCircle"/>
      <w:isLgl w:val="false"/>
      <w:suff w:val="tab"/>
      <w:lvlText w:val="%1"/>
      <w:lvlJc w:val="left"/>
      <w:pPr>
        <w:ind w:left="960" w:hanging="360"/>
      </w:pPr>
      <w:rPr>
        <w:rFonts w:hint="default" w:cs="等线"/>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3">
    <w:multiLevelType w:val="hybridMultilevel"/>
    <w:lvl w:ilvl="0">
      <w:start w:val="1"/>
      <w:numFmt w:val="bullet"/>
      <w:pStyle w:val="10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4"/>
  </w:num>
  <w:num w:numId="13">
    <w:abstractNumId w:val="3"/>
  </w:num>
  <w:num w:numId="14">
    <w:abstractNumId w:val="8"/>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164"/>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link w:val="74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w:next w:val="713"/>
    <w:uiPriority w:val="0"/>
    <w:qFormat/>
    <w:pPr>
      <w:jc w:val="both"/>
      <w:widowControl w:val="off"/>
    </w:pPr>
    <w:rPr>
      <w:rFonts w:ascii="仿宋_GB2312" w:hAnsi="Times New Roman" w:eastAsia="仿宋_GB2312" w:cs="Times New Roman"/>
      <w:sz w:val="28"/>
      <w:szCs w:val="20"/>
      <w:lang w:val="en-US" w:eastAsia="zh-CN" w:bidi="ar-SA"/>
    </w:rPr>
  </w:style>
  <w:style w:type="paragraph" w:styleId="713">
    <w:name w:val="toc 2"/>
    <w:basedOn w:val="700"/>
    <w:next w:val="700"/>
    <w:uiPriority w:val="39"/>
    <w:unhideWhenUsed/>
    <w:qFormat/>
    <w:pPr>
      <w:ind w:left="283" w:right="0" w:firstLine="0"/>
      <w:spacing w:after="57"/>
    </w:pPr>
  </w:style>
  <w:style w:type="paragraph" w:styleId="714">
    <w:name w:val="toc 7"/>
    <w:basedOn w:val="700"/>
    <w:next w:val="700"/>
    <w:uiPriority w:val="39"/>
    <w:unhideWhenUsed/>
    <w:qFormat/>
    <w:pPr>
      <w:ind w:left="1701" w:right="0" w:firstLine="0"/>
      <w:spacing w:after="57"/>
    </w:pPr>
  </w:style>
  <w:style w:type="paragraph" w:styleId="715">
    <w:name w:val="Normal Indent"/>
    <w:basedOn w:val="700"/>
    <w:uiPriority w:val="0"/>
    <w:qFormat/>
    <w:pPr>
      <w:ind w:firstLine="420"/>
      <w:jc w:val="left"/>
      <w:widowControl/>
    </w:pPr>
    <w:rPr>
      <w:sz w:val="20"/>
      <w:szCs w:val="20"/>
    </w:rPr>
  </w:style>
  <w:style w:type="paragraph" w:styleId="716">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0"/>
    <w:uiPriority w:val="0"/>
    <w:qFormat/>
    <w:pPr>
      <w:jc w:val="left"/>
    </w:pPr>
    <w:rPr>
      <w:rFonts w:ascii="Times New Roman" w:hAnsi="Times New Roman"/>
    </w:rPr>
  </w:style>
  <w:style w:type="paragraph" w:styleId="718">
    <w:name w:val="toc 5"/>
    <w:basedOn w:val="700"/>
    <w:next w:val="700"/>
    <w:uiPriority w:val="39"/>
    <w:unhideWhenUsed/>
    <w:qFormat/>
    <w:pPr>
      <w:ind w:left="1134" w:right="0" w:firstLine="0"/>
      <w:spacing w:after="57"/>
    </w:pPr>
  </w:style>
  <w:style w:type="paragraph" w:styleId="719">
    <w:name w:val="toc 3"/>
    <w:basedOn w:val="700"/>
    <w:next w:val="700"/>
    <w:uiPriority w:val="39"/>
    <w:unhideWhenUsed/>
    <w:qFormat/>
    <w:pPr>
      <w:ind w:left="567" w:right="0" w:firstLine="0"/>
      <w:spacing w:after="57"/>
    </w:pPr>
  </w:style>
  <w:style w:type="paragraph" w:styleId="720">
    <w:name w:val="Plain Text"/>
    <w:basedOn w:val="700"/>
    <w:uiPriority w:val="0"/>
    <w:qFormat/>
    <w:rPr>
      <w:rFonts w:ascii="宋体" w:hAnsi="Times New Roman"/>
      <w:szCs w:val="21"/>
    </w:rPr>
  </w:style>
  <w:style w:type="paragraph" w:styleId="721">
    <w:name w:val="toc 8"/>
    <w:basedOn w:val="700"/>
    <w:next w:val="700"/>
    <w:uiPriority w:val="39"/>
    <w:unhideWhenUsed/>
    <w:qFormat/>
    <w:pPr>
      <w:ind w:left="1984" w:right="0" w:firstLine="0"/>
      <w:spacing w:after="57"/>
    </w:pPr>
  </w:style>
  <w:style w:type="paragraph" w:styleId="722">
    <w:name w:val="Body Text Indent 2"/>
    <w:basedOn w:val="700"/>
    <w:uiPriority w:val="0"/>
    <w:qFormat/>
    <w:pPr>
      <w:ind w:firstLine="233"/>
      <w:spacing w:line="400" w:lineRule="exact"/>
      <w:tabs>
        <w:tab w:val="left" w:pos="0" w:leader="none"/>
        <w:tab w:val="left" w:pos="1134" w:leader="none"/>
      </w:tabs>
    </w:pPr>
    <w:rPr>
      <w:rFonts w:ascii="楷体_GB2312" w:eastAsia="楷体_GB2312"/>
      <w:sz w:val="24"/>
    </w:rPr>
  </w:style>
  <w:style w:type="paragraph" w:styleId="723">
    <w:name w:val="endnote text"/>
    <w:basedOn w:val="700"/>
    <w:link w:val="885"/>
    <w:uiPriority w:val="99"/>
    <w:semiHidden/>
    <w:unhideWhenUsed/>
    <w:qFormat/>
    <w:pPr>
      <w:spacing w:after="0" w:line="240" w:lineRule="auto"/>
    </w:pPr>
    <w:rPr>
      <w:sz w:val="20"/>
    </w:rPr>
  </w:style>
  <w:style w:type="paragraph" w:styleId="724">
    <w:name w:val="Footer"/>
    <w:basedOn w:val="700"/>
    <w:link w:val="758"/>
    <w:uiPriority w:val="99"/>
    <w:unhideWhenUsed/>
    <w:qFormat/>
    <w:pPr>
      <w:spacing w:after="0" w:line="240" w:lineRule="auto"/>
      <w:tabs>
        <w:tab w:val="center" w:pos="7143" w:leader="none"/>
        <w:tab w:val="right" w:pos="14287" w:leader="none"/>
      </w:tabs>
    </w:pPr>
  </w:style>
  <w:style w:type="paragraph" w:styleId="725">
    <w:name w:val="Header"/>
    <w:basedOn w:val="700"/>
    <w:link w:val="756"/>
    <w:uiPriority w:val="99"/>
    <w:unhideWhenUsed/>
    <w:qFormat/>
    <w:pPr>
      <w:spacing w:after="0" w:line="240" w:lineRule="auto"/>
      <w:tabs>
        <w:tab w:val="center" w:pos="7143" w:leader="none"/>
        <w:tab w:val="right" w:pos="14287" w:leader="none"/>
      </w:tabs>
    </w:pPr>
  </w:style>
  <w:style w:type="paragraph" w:styleId="726">
    <w:name w:val="toc 1"/>
    <w:basedOn w:val="700"/>
    <w:next w:val="700"/>
    <w:uiPriority w:val="39"/>
    <w:unhideWhenUsed/>
    <w:qFormat/>
    <w:pPr>
      <w:ind w:left="0" w:right="0" w:firstLine="0"/>
      <w:spacing w:after="57"/>
    </w:pPr>
  </w:style>
  <w:style w:type="paragraph" w:styleId="727">
    <w:name w:val="toc 4"/>
    <w:basedOn w:val="700"/>
    <w:next w:val="700"/>
    <w:uiPriority w:val="39"/>
    <w:unhideWhenUsed/>
    <w:qFormat/>
    <w:pPr>
      <w:ind w:left="850" w:right="0" w:firstLine="0"/>
      <w:spacing w:after="57"/>
    </w:pPr>
  </w:style>
  <w:style w:type="paragraph" w:styleId="728">
    <w:name w:val="Subtitle"/>
    <w:basedOn w:val="700"/>
    <w:next w:val="700"/>
    <w:link w:val="751"/>
    <w:uiPriority w:val="11"/>
    <w:qFormat/>
    <w:pPr>
      <w:spacing w:before="200" w:after="200"/>
    </w:pPr>
    <w:rPr>
      <w:sz w:val="24"/>
      <w:szCs w:val="24"/>
    </w:rPr>
  </w:style>
  <w:style w:type="paragraph" w:styleId="729">
    <w:name w:val="footnote text"/>
    <w:basedOn w:val="700"/>
    <w:link w:val="884"/>
    <w:uiPriority w:val="99"/>
    <w:semiHidden/>
    <w:unhideWhenUsed/>
    <w:qFormat/>
    <w:pPr>
      <w:spacing w:after="40" w:line="240" w:lineRule="auto"/>
    </w:pPr>
    <w:rPr>
      <w:sz w:val="18"/>
    </w:rPr>
  </w:style>
  <w:style w:type="paragraph" w:styleId="730">
    <w:name w:val="toc 6"/>
    <w:basedOn w:val="700"/>
    <w:next w:val="700"/>
    <w:uiPriority w:val="39"/>
    <w:unhideWhenUsed/>
    <w:qFormat/>
    <w:pPr>
      <w:ind w:left="1417" w:right="0" w:firstLine="0"/>
      <w:spacing w:after="57"/>
    </w:pPr>
  </w:style>
  <w:style w:type="paragraph" w:styleId="731">
    <w:name w:val="table of figures"/>
    <w:basedOn w:val="700"/>
    <w:next w:val="700"/>
    <w:uiPriority w:val="99"/>
    <w:unhideWhenUsed/>
    <w:qFormat/>
    <w:pPr>
      <w:spacing w:after="0" w:afterAutospacing="0"/>
    </w:pPr>
  </w:style>
  <w:style w:type="paragraph" w:styleId="732">
    <w:name w:val="toc 9"/>
    <w:basedOn w:val="700"/>
    <w:next w:val="700"/>
    <w:uiPriority w:val="39"/>
    <w:unhideWhenUsed/>
    <w:qFormat/>
    <w:pPr>
      <w:ind w:left="2268" w:right="0" w:firstLine="0"/>
      <w:spacing w:after="57"/>
    </w:pPr>
  </w:style>
  <w:style w:type="paragraph" w:styleId="733">
    <w:name w:val="Body Text 2"/>
    <w:basedOn w:val="700"/>
    <w:uiPriority w:val="0"/>
    <w:qFormat/>
    <w:pPr>
      <w:ind w:firstLine="420"/>
      <w:spacing w:after="20" w:line="720" w:lineRule="auto"/>
    </w:pPr>
    <w:rPr>
      <w:rFonts w:ascii="Times New Roman" w:hAnsi="Times New Roman"/>
      <w:sz w:val="30"/>
    </w:rPr>
  </w:style>
  <w:style w:type="paragraph" w:styleId="734">
    <w:name w:val="Normal (Web)"/>
    <w:uiPriority w:val="99"/>
    <w:qFormat/>
    <w:pPr>
      <w:ind w:firstLine="420"/>
      <w:jc w:val="left"/>
      <w:spacing w:before="100" w:beforeAutospacing="1" w:after="100" w:afterAutospacing="1" w:line="288" w:lineRule="auto"/>
      <w:widowControl/>
    </w:pPr>
    <w:rPr>
      <w:rFonts w:ascii="宋体" w:hAnsi="Times New Roman" w:eastAsia="宋体" w:cs="Times New Roman"/>
      <w:sz w:val="24"/>
      <w:szCs w:val="24"/>
      <w:lang w:val="en-US" w:eastAsia="zh-CN" w:bidi="ar-SA"/>
    </w:rPr>
  </w:style>
  <w:style w:type="paragraph" w:styleId="735">
    <w:name w:val="Title"/>
    <w:basedOn w:val="700"/>
    <w:next w:val="700"/>
    <w:link w:val="750"/>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1"/>
    <w:uiPriority w:val="9"/>
    <w:qFormat/>
    <w:rPr>
      <w:rFonts w:ascii="Arial" w:hAnsi="Arial" w:eastAsia="Arial" w:cs="Arial"/>
      <w:sz w:val="40"/>
      <w:szCs w:val="40"/>
    </w:rPr>
  </w:style>
  <w:style w:type="character" w:styleId="741" w:customStyle="1">
    <w:name w:val="Heading 2 Char"/>
    <w:link w:val="702"/>
    <w:uiPriority w:val="9"/>
    <w:qFormat/>
    <w:rPr>
      <w:rFonts w:ascii="Arial" w:hAnsi="Arial" w:eastAsia="Arial" w:cs="Arial"/>
      <w:sz w:val="34"/>
    </w:rPr>
  </w:style>
  <w:style w:type="character" w:styleId="742" w:customStyle="1">
    <w:name w:val="Heading 3 Char"/>
    <w:link w:val="703"/>
    <w:uiPriority w:val="9"/>
    <w:qFormat/>
    <w:rPr>
      <w:rFonts w:ascii="Arial" w:hAnsi="Arial" w:eastAsia="Arial" w:cs="Arial"/>
      <w:sz w:val="30"/>
      <w:szCs w:val="30"/>
    </w:rPr>
  </w:style>
  <w:style w:type="character" w:styleId="743" w:customStyle="1">
    <w:name w:val="Heading 4 Char"/>
    <w:link w:val="704"/>
    <w:uiPriority w:val="9"/>
    <w:qFormat/>
    <w:rPr>
      <w:rFonts w:ascii="Arial" w:hAnsi="Arial" w:eastAsia="Arial" w:cs="Arial"/>
      <w:b/>
      <w:bCs/>
      <w:sz w:val="26"/>
      <w:szCs w:val="26"/>
    </w:rPr>
  </w:style>
  <w:style w:type="character" w:styleId="744" w:customStyle="1">
    <w:name w:val="Heading 5 Char"/>
    <w:link w:val="705"/>
    <w:uiPriority w:val="9"/>
    <w:qFormat/>
    <w:rPr>
      <w:rFonts w:ascii="Arial" w:hAnsi="Arial" w:eastAsia="Arial" w:cs="Arial"/>
      <w:b/>
      <w:bCs/>
      <w:sz w:val="24"/>
      <w:szCs w:val="24"/>
    </w:rPr>
  </w:style>
  <w:style w:type="character" w:styleId="745" w:customStyle="1">
    <w:name w:val="Heading 6 Char"/>
    <w:link w:val="706"/>
    <w:uiPriority w:val="9"/>
    <w:qFormat/>
    <w:rPr>
      <w:rFonts w:ascii="Arial" w:hAnsi="Arial" w:eastAsia="Arial" w:cs="Arial"/>
      <w:b/>
      <w:bCs/>
      <w:sz w:val="22"/>
      <w:szCs w:val="22"/>
    </w:rPr>
  </w:style>
  <w:style w:type="character" w:styleId="746" w:customStyle="1">
    <w:name w:val="Heading 7 Char"/>
    <w:link w:val="707"/>
    <w:uiPriority w:val="9"/>
    <w:qFormat/>
    <w:rPr>
      <w:rFonts w:ascii="Arial" w:hAnsi="Arial" w:eastAsia="Arial" w:cs="Arial"/>
      <w:b/>
      <w:bCs/>
      <w:i/>
      <w:iCs/>
      <w:sz w:val="22"/>
      <w:szCs w:val="22"/>
    </w:rPr>
  </w:style>
  <w:style w:type="character" w:styleId="747" w:customStyle="1">
    <w:name w:val="Heading 8 Char"/>
    <w:link w:val="708"/>
    <w:uiPriority w:val="9"/>
    <w:qFormat/>
    <w:rPr>
      <w:rFonts w:ascii="Arial" w:hAnsi="Arial" w:eastAsia="Arial" w:cs="Arial"/>
      <w:i/>
      <w:iCs/>
      <w:sz w:val="22"/>
      <w:szCs w:val="22"/>
    </w:rPr>
  </w:style>
  <w:style w:type="character" w:styleId="748" w:customStyle="1">
    <w:name w:val="Heading 9 Char"/>
    <w:link w:val="709"/>
    <w:uiPriority w:val="9"/>
    <w:qFormat/>
    <w:rPr>
      <w:rFonts w:ascii="Arial" w:hAnsi="Arial" w:eastAsia="Arial" w:cs="Arial"/>
      <w:i/>
      <w:iCs/>
      <w:sz w:val="21"/>
      <w:szCs w:val="21"/>
    </w:r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5"/>
    <w:uiPriority w:val="10"/>
    <w:qFormat/>
    <w:rPr>
      <w:sz w:val="48"/>
      <w:szCs w:val="48"/>
    </w:rPr>
  </w:style>
  <w:style w:type="character" w:styleId="751" w:customStyle="1">
    <w:name w:val="Subtitle Char"/>
    <w:link w:val="728"/>
    <w:uiPriority w:val="11"/>
    <w:qFormat/>
    <w:rPr>
      <w:sz w:val="24"/>
      <w:szCs w:val="24"/>
    </w:rPr>
  </w:style>
  <w:style w:type="paragraph" w:styleId="752">
    <w:name w:val="Quote"/>
    <w:basedOn w:val="700"/>
    <w:next w:val="700"/>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0"/>
    <w:next w:val="700"/>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5"/>
    <w:uiPriority w:val="99"/>
    <w:qFormat/>
  </w:style>
  <w:style w:type="character" w:styleId="757" w:customStyle="1">
    <w:name w:val="Footer Char"/>
    <w:link w:val="724"/>
    <w:uiPriority w:val="99"/>
    <w:qFormat/>
  </w:style>
  <w:style w:type="character" w:styleId="758" w:customStyle="1">
    <w:name w:val="Caption Char"/>
    <w:link w:val="724"/>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9"/>
    <w:uiPriority w:val="99"/>
    <w:qFormat/>
    <w:rPr>
      <w:sz w:val="18"/>
    </w:rPr>
  </w:style>
  <w:style w:type="character" w:styleId="885" w:customStyle="1">
    <w:name w:val="Endnote Text Char"/>
    <w:link w:val="723"/>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basedOn w:val="700"/>
    <w:next w:val="700"/>
    <w:link w:val="898"/>
    <w:uiPriority w:val="0"/>
    <w:qFormat/>
    <w:pPr>
      <w:jc w:val="center"/>
      <w:keepNext/>
      <w:outlineLvl w:val="0"/>
    </w:pPr>
    <w:rPr>
      <w:rFonts w:ascii="楷体_GB2312" w:eastAsia="楷体_GB2312"/>
      <w:b/>
      <w:sz w:val="28"/>
    </w:rPr>
  </w:style>
  <w:style w:type="paragraph" w:styleId="888" w:customStyle="1">
    <w:name w:val="标题 21"/>
    <w:basedOn w:val="700"/>
    <w:next w:val="700"/>
    <w:link w:val="899"/>
    <w:uiPriority w:val="0"/>
    <w:qFormat/>
    <w:pPr>
      <w:jc w:val="center"/>
      <w:keepNext/>
      <w:outlineLvl w:val="1"/>
    </w:pPr>
    <w:rPr>
      <w:rFonts w:ascii="楷体_GB2312" w:eastAsia="楷体_GB2312"/>
      <w:b/>
      <w:bCs/>
      <w:sz w:val="18"/>
    </w:rPr>
  </w:style>
  <w:style w:type="paragraph" w:styleId="889" w:customStyle="1">
    <w:name w:val="标题 31"/>
    <w:basedOn w:val="700"/>
    <w:next w:val="700"/>
    <w:link w:val="900"/>
    <w:uiPriority w:val="0"/>
    <w:qFormat/>
    <w:pPr>
      <w:jc w:val="center"/>
      <w:keepNext/>
      <w:outlineLvl w:val="2"/>
    </w:pPr>
    <w:rPr>
      <w:rFonts w:eastAsia="楷体_GB2312"/>
      <w:b/>
      <w:bCs/>
      <w:sz w:val="15"/>
    </w:rPr>
  </w:style>
  <w:style w:type="paragraph" w:styleId="890" w:customStyle="1">
    <w:name w:val="标题 41"/>
    <w:basedOn w:val="700"/>
    <w:next w:val="700"/>
    <w:link w:val="901"/>
    <w:uiPriority w:val="0"/>
    <w:qFormat/>
    <w:pPr>
      <w:jc w:val="center"/>
      <w:keepNext/>
      <w:outlineLvl w:val="3"/>
    </w:pPr>
    <w:rPr>
      <w:rFonts w:eastAsia="楷体_GB2312"/>
      <w:b/>
      <w:bCs/>
      <w:sz w:val="13"/>
    </w:rPr>
  </w:style>
  <w:style w:type="paragraph" w:styleId="891" w:customStyle="1">
    <w:name w:val="标题 51"/>
    <w:basedOn w:val="700"/>
    <w:next w:val="700"/>
    <w:link w:val="902"/>
    <w:uiPriority w:val="99"/>
    <w:qFormat/>
    <w:pPr>
      <w:numPr>
        <w:ilvl w:val="0"/>
        <w:numId w:val="1"/>
      </w:numPr>
      <w:keepNext/>
      <w:outlineLvl w:val="4"/>
    </w:pPr>
    <w:rPr>
      <w:rFonts w:ascii="楷体_GB2312" w:eastAsia="楷体_GB2312"/>
      <w:bCs/>
      <w:sz w:val="28"/>
    </w:rPr>
  </w:style>
  <w:style w:type="paragraph" w:styleId="892" w:customStyle="1">
    <w:name w:val="标题 61"/>
    <w:basedOn w:val="700"/>
    <w:next w:val="700"/>
    <w:link w:val="903"/>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93" w:customStyle="1">
    <w:name w:val="标题 71"/>
    <w:basedOn w:val="700"/>
    <w:next w:val="700"/>
    <w:link w:val="904"/>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94" w:customStyle="1">
    <w:name w:val="标题 81"/>
    <w:basedOn w:val="700"/>
    <w:next w:val="700"/>
    <w:link w:val="90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95" w:customStyle="1">
    <w:name w:val="标题 91"/>
    <w:basedOn w:val="700"/>
    <w:next w:val="700"/>
    <w:link w:val="906"/>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96" w:customStyle="1">
    <w:name w:val="默认段落字体1"/>
    <w:link w:val="700"/>
    <w:uiPriority w:val="1"/>
    <w:unhideWhenUsed/>
    <w:qFormat/>
  </w:style>
  <w:style w:type="table" w:styleId="897" w:customStyle="1">
    <w:name w:val="普通表格1"/>
    <w:uiPriority w:val="99"/>
    <w:unhideWhenUsed/>
    <w:qFormat/>
    <w:tblPr/>
  </w:style>
  <w:style w:type="character" w:styleId="898" w:customStyle="1">
    <w:name w:val="标题 1 Char"/>
    <w:link w:val="887"/>
    <w:uiPriority w:val="0"/>
    <w:qFormat/>
    <w:rPr>
      <w:rFonts w:ascii="楷体_GB2312" w:hAnsi="Times New Roman" w:eastAsia="楷体_GB2312" w:cs="Times New Roman"/>
      <w:b/>
      <w:sz w:val="28"/>
      <w:szCs w:val="20"/>
    </w:rPr>
  </w:style>
  <w:style w:type="character" w:styleId="899" w:customStyle="1">
    <w:name w:val="标题 2 Char"/>
    <w:link w:val="888"/>
    <w:uiPriority w:val="0"/>
    <w:qFormat/>
    <w:rPr>
      <w:rFonts w:ascii="楷体_GB2312" w:hAnsi="Times New Roman" w:eastAsia="楷体_GB2312" w:cs="Times New Roman"/>
      <w:b/>
      <w:bCs/>
      <w:sz w:val="18"/>
      <w:szCs w:val="20"/>
    </w:rPr>
  </w:style>
  <w:style w:type="character" w:styleId="900" w:customStyle="1">
    <w:name w:val="标题 3 Char"/>
    <w:link w:val="889"/>
    <w:uiPriority w:val="0"/>
    <w:qFormat/>
    <w:rPr>
      <w:rFonts w:ascii="Times New Roman" w:hAnsi="Times New Roman" w:eastAsia="楷体_GB2312" w:cs="Times New Roman"/>
      <w:b/>
      <w:bCs/>
      <w:sz w:val="15"/>
      <w:szCs w:val="20"/>
    </w:rPr>
  </w:style>
  <w:style w:type="character" w:styleId="901" w:customStyle="1">
    <w:name w:val="标题 4 Char"/>
    <w:link w:val="890"/>
    <w:uiPriority w:val="0"/>
    <w:qFormat/>
    <w:rPr>
      <w:rFonts w:ascii="Times New Roman" w:hAnsi="Times New Roman" w:eastAsia="楷体_GB2312" w:cs="Times New Roman"/>
      <w:b/>
      <w:bCs/>
      <w:sz w:val="13"/>
      <w:szCs w:val="20"/>
    </w:rPr>
  </w:style>
  <w:style w:type="character" w:styleId="902" w:customStyle="1">
    <w:name w:val="标题 5 Char"/>
    <w:link w:val="891"/>
    <w:uiPriority w:val="99"/>
    <w:qFormat/>
    <w:rPr>
      <w:rFonts w:ascii="楷体_GB2312" w:hAnsi="Times New Roman" w:eastAsia="楷体_GB2312"/>
      <w:bCs/>
      <w:sz w:val="28"/>
    </w:rPr>
  </w:style>
  <w:style w:type="character" w:styleId="903" w:customStyle="1">
    <w:name w:val="标题 6 Char"/>
    <w:link w:val="892"/>
    <w:uiPriority w:val="0"/>
    <w:qFormat/>
    <w:rPr>
      <w:rFonts w:ascii="Arial" w:hAnsi="Arial" w:eastAsia="黑体"/>
      <w:b/>
      <w:sz w:val="24"/>
      <w:szCs w:val="24"/>
    </w:rPr>
  </w:style>
  <w:style w:type="character" w:styleId="904" w:customStyle="1">
    <w:name w:val="标题 7 Char"/>
    <w:link w:val="893"/>
    <w:uiPriority w:val="0"/>
    <w:qFormat/>
    <w:rPr>
      <w:rFonts w:ascii="Times New Roman" w:hAnsi="Times New Roman"/>
      <w:b/>
      <w:sz w:val="24"/>
      <w:szCs w:val="24"/>
    </w:rPr>
  </w:style>
  <w:style w:type="character" w:styleId="905" w:customStyle="1">
    <w:name w:val="标题 8 Char"/>
    <w:link w:val="894"/>
    <w:uiPriority w:val="0"/>
    <w:qFormat/>
    <w:rPr>
      <w:rFonts w:ascii="Arial" w:hAnsi="Arial" w:eastAsia="黑体"/>
      <w:sz w:val="24"/>
      <w:szCs w:val="24"/>
    </w:rPr>
  </w:style>
  <w:style w:type="character" w:styleId="906" w:customStyle="1">
    <w:name w:val="标题 9 Char"/>
    <w:link w:val="895"/>
    <w:uiPriority w:val="0"/>
    <w:qFormat/>
    <w:rPr>
      <w:rFonts w:ascii="Arial" w:hAnsi="Arial" w:eastAsia="黑体"/>
      <w:sz w:val="21"/>
      <w:szCs w:val="24"/>
    </w:rPr>
  </w:style>
  <w:style w:type="paragraph" w:styleId="907" w:customStyle="1">
    <w:name w:val="列表 31"/>
    <w:basedOn w:val="700"/>
    <w:uiPriority w:val="0"/>
    <w:qFormat/>
    <w:pPr>
      <w:ind w:left="1260" w:hanging="420"/>
    </w:pPr>
    <w:rPr>
      <w:rFonts w:hAnsi="宋体"/>
      <w:color w:val="000000"/>
      <w:spacing w:val="-8"/>
    </w:rPr>
  </w:style>
  <w:style w:type="paragraph" w:styleId="908" w:customStyle="1">
    <w:name w:val="目录 71"/>
    <w:basedOn w:val="700"/>
    <w:next w:val="700"/>
    <w:uiPriority w:val="0"/>
    <w:qFormat/>
    <w:pPr>
      <w:ind w:left="1260" w:firstLine="420"/>
      <w:jc w:val="left"/>
      <w:spacing w:line="288" w:lineRule="auto"/>
    </w:pPr>
    <w:rPr>
      <w:sz w:val="18"/>
      <w:szCs w:val="18"/>
    </w:rPr>
  </w:style>
  <w:style w:type="paragraph" w:styleId="909" w:customStyle="1">
    <w:name w:val="索引 81"/>
    <w:basedOn w:val="700"/>
    <w:next w:val="700"/>
    <w:uiPriority w:val="0"/>
    <w:qFormat/>
    <w:pPr>
      <w:ind w:left="1400"/>
    </w:pPr>
  </w:style>
  <w:style w:type="paragraph" w:styleId="910" w:customStyle="1">
    <w:name w:val="正文缩进11"/>
    <w:basedOn w:val="700"/>
    <w:link w:val="911"/>
    <w:uiPriority w:val="0"/>
    <w:unhideWhenUsed/>
    <w:qFormat/>
    <w:pPr>
      <w:ind w:firstLine="420"/>
    </w:pPr>
    <w:rPr>
      <w:szCs w:val="24"/>
    </w:rPr>
  </w:style>
  <w:style w:type="character" w:styleId="911" w:customStyle="1">
    <w:name w:val="正文缩进 Char"/>
    <w:link w:val="910"/>
    <w:uiPriority w:val="0"/>
    <w:qFormat/>
    <w:rPr>
      <w:rFonts w:ascii="Times New Roman" w:hAnsi="Times New Roman"/>
      <w:sz w:val="21"/>
      <w:szCs w:val="24"/>
    </w:rPr>
  </w:style>
  <w:style w:type="paragraph" w:styleId="912" w:customStyle="1">
    <w:name w:val="题注1"/>
    <w:basedOn w:val="700"/>
    <w:next w:val="700"/>
    <w:uiPriority w:val="0"/>
    <w:qFormat/>
    <w:rPr>
      <w:rFonts w:ascii="Arial" w:hAnsi="Arial" w:eastAsia="黑体" w:cs="Arial"/>
      <w:sz w:val="20"/>
    </w:rPr>
  </w:style>
  <w:style w:type="paragraph" w:styleId="913" w:customStyle="1">
    <w:name w:val="索引 51"/>
    <w:basedOn w:val="700"/>
    <w:next w:val="700"/>
    <w:uiPriority w:val="0"/>
    <w:unhideWhenUsed/>
    <w:qFormat/>
    <w:pPr>
      <w:ind w:left="800"/>
    </w:pPr>
  </w:style>
  <w:style w:type="paragraph" w:styleId="914" w:customStyle="1">
    <w:name w:val="列表项目符号1"/>
    <w:basedOn w:val="700"/>
    <w:uiPriority w:val="0"/>
    <w:qFormat/>
    <w:pPr>
      <w:ind w:left="360" w:firstLine="200"/>
      <w:tabs>
        <w:tab w:val="left" w:pos="360" w:leader="none"/>
      </w:tabs>
    </w:pPr>
    <w:rPr>
      <w:rFonts w:hAnsi="宋体"/>
      <w:color w:val="000000"/>
      <w:spacing w:val="-8"/>
    </w:rPr>
  </w:style>
  <w:style w:type="paragraph" w:styleId="915" w:customStyle="1">
    <w:name w:val="文档结构图1"/>
    <w:basedOn w:val="700"/>
    <w:link w:val="916"/>
    <w:uiPriority w:val="0"/>
    <w:qFormat/>
    <w:pPr>
      <w:shd w:val="clear" w:color="auto" w:fill="000080"/>
    </w:pPr>
    <w:rPr>
      <w:sz w:val="20"/>
    </w:rPr>
  </w:style>
  <w:style w:type="character" w:styleId="916" w:customStyle="1">
    <w:name w:val="文档结构图 Char"/>
    <w:link w:val="915"/>
    <w:uiPriority w:val="0"/>
    <w:qFormat/>
    <w:rPr>
      <w:rFonts w:ascii="Times New Roman" w:hAnsi="Times New Roman" w:eastAsia="宋体" w:cs="Times New Roman"/>
      <w:szCs w:val="20"/>
      <w:shd w:val="clear" w:color="auto" w:fill="000080"/>
    </w:rPr>
  </w:style>
  <w:style w:type="paragraph" w:styleId="917" w:customStyle="1">
    <w:name w:val="批注文字1"/>
    <w:basedOn w:val="700"/>
    <w:link w:val="918"/>
    <w:uiPriority w:val="0"/>
    <w:qFormat/>
    <w:pPr>
      <w:jc w:val="left"/>
    </w:pPr>
    <w:rPr>
      <w:sz w:val="20"/>
      <w:szCs w:val="24"/>
    </w:rPr>
  </w:style>
  <w:style w:type="character" w:styleId="918" w:customStyle="1">
    <w:name w:val="批注文字 Char"/>
    <w:link w:val="917"/>
    <w:uiPriority w:val="0"/>
    <w:qFormat/>
    <w:rPr>
      <w:rFonts w:ascii="Times New Roman" w:hAnsi="Times New Roman" w:eastAsia="宋体" w:cs="Times New Roman"/>
      <w:szCs w:val="24"/>
    </w:rPr>
  </w:style>
  <w:style w:type="paragraph" w:styleId="919" w:customStyle="1">
    <w:name w:val="索引 61"/>
    <w:basedOn w:val="700"/>
    <w:next w:val="700"/>
    <w:uiPriority w:val="0"/>
    <w:qFormat/>
    <w:pPr>
      <w:ind w:left="1000"/>
    </w:pPr>
  </w:style>
  <w:style w:type="paragraph" w:styleId="920" w:customStyle="1">
    <w:name w:val="称呼1"/>
    <w:basedOn w:val="700"/>
    <w:next w:val="700"/>
    <w:link w:val="921"/>
    <w:uiPriority w:val="0"/>
    <w:qFormat/>
    <w:pPr>
      <w:ind w:firstLine="420"/>
      <w:spacing w:after="20" w:line="288" w:lineRule="auto"/>
    </w:pPr>
    <w:rPr>
      <w:sz w:val="28"/>
      <w:szCs w:val="24"/>
    </w:rPr>
  </w:style>
  <w:style w:type="character" w:styleId="921" w:customStyle="1">
    <w:name w:val="称呼 Char"/>
    <w:link w:val="920"/>
    <w:uiPriority w:val="0"/>
    <w:qFormat/>
    <w:rPr>
      <w:rFonts w:ascii="Times New Roman" w:hAnsi="Times New Roman"/>
      <w:sz w:val="28"/>
      <w:szCs w:val="24"/>
    </w:rPr>
  </w:style>
  <w:style w:type="paragraph" w:styleId="922" w:customStyle="1">
    <w:name w:val="正文文本 31"/>
    <w:basedOn w:val="700"/>
    <w:link w:val="923"/>
    <w:uiPriority w:val="0"/>
    <w:qFormat/>
    <w:pPr>
      <w:jc w:val="center"/>
      <w:spacing w:after="20" w:line="288" w:lineRule="auto"/>
    </w:pPr>
    <w:rPr>
      <w:b/>
      <w:bCs/>
      <w:sz w:val="24"/>
      <w:szCs w:val="24"/>
    </w:rPr>
  </w:style>
  <w:style w:type="character" w:styleId="923" w:customStyle="1">
    <w:name w:val="正文文本 3 Char"/>
    <w:link w:val="922"/>
    <w:uiPriority w:val="0"/>
    <w:qFormat/>
    <w:rPr>
      <w:rFonts w:ascii="Times New Roman" w:hAnsi="Times New Roman"/>
      <w:b/>
      <w:bCs/>
      <w:sz w:val="24"/>
      <w:szCs w:val="24"/>
    </w:rPr>
  </w:style>
  <w:style w:type="paragraph" w:styleId="924" w:customStyle="1">
    <w:name w:val="结束语1"/>
    <w:basedOn w:val="700"/>
    <w:link w:val="925"/>
    <w:uiPriority w:val="0"/>
    <w:qFormat/>
    <w:pPr>
      <w:ind w:left="100" w:firstLine="420"/>
      <w:spacing w:after="20" w:line="288" w:lineRule="auto"/>
    </w:pPr>
    <w:rPr>
      <w:sz w:val="28"/>
      <w:szCs w:val="24"/>
    </w:rPr>
  </w:style>
  <w:style w:type="character" w:styleId="925" w:customStyle="1">
    <w:name w:val="结束语 Char"/>
    <w:link w:val="924"/>
    <w:uiPriority w:val="0"/>
    <w:qFormat/>
    <w:rPr>
      <w:rFonts w:ascii="Times New Roman" w:hAnsi="Times New Roman"/>
      <w:sz w:val="28"/>
      <w:szCs w:val="24"/>
    </w:rPr>
  </w:style>
  <w:style w:type="paragraph" w:styleId="926" w:customStyle="1">
    <w:name w:val="正文文本11"/>
    <w:basedOn w:val="700"/>
    <w:next w:val="700"/>
    <w:link w:val="927"/>
    <w:uiPriority w:val="0"/>
    <w:qFormat/>
    <w:rPr>
      <w:rFonts w:ascii="华文中宋" w:eastAsia="华文中宋"/>
      <w:bCs/>
      <w:sz w:val="28"/>
    </w:rPr>
  </w:style>
  <w:style w:type="character" w:styleId="927" w:customStyle="1">
    <w:name w:val="正文文本 Char"/>
    <w:link w:val="926"/>
    <w:uiPriority w:val="0"/>
    <w:qFormat/>
    <w:rPr>
      <w:rFonts w:ascii="华文中宋" w:hAnsi="Times New Roman" w:eastAsia="华文中宋" w:cs="Times New Roman"/>
      <w:bCs/>
      <w:sz w:val="28"/>
      <w:szCs w:val="20"/>
    </w:rPr>
  </w:style>
  <w:style w:type="paragraph" w:styleId="928" w:customStyle="1">
    <w:name w:val="正文文本缩进1"/>
    <w:basedOn w:val="700"/>
    <w:next w:val="929"/>
    <w:link w:val="930"/>
    <w:uiPriority w:val="0"/>
    <w:qFormat/>
    <w:pPr>
      <w:ind w:firstLine="576"/>
    </w:pPr>
    <w:rPr>
      <w:b/>
      <w:sz w:val="30"/>
    </w:rPr>
  </w:style>
  <w:style w:type="paragraph" w:styleId="929" w:customStyle="1">
    <w:name w:val="寄信人地址1"/>
    <w:basedOn w:val="700"/>
    <w:uiPriority w:val="99"/>
    <w:unhideWhenUsed/>
    <w:qFormat/>
    <w:rPr>
      <w:rFonts w:hint="eastAsia" w:ascii="Arial" w:hAnsi="Arial"/>
      <w:sz w:val="24"/>
      <w:szCs w:val="24"/>
    </w:rPr>
  </w:style>
  <w:style w:type="character" w:styleId="930" w:customStyle="1">
    <w:name w:val="正文文本缩进 Char"/>
    <w:link w:val="928"/>
    <w:uiPriority w:val="0"/>
    <w:qFormat/>
    <w:rPr>
      <w:rFonts w:ascii="Times New Roman" w:hAnsi="Times New Roman" w:eastAsia="宋体" w:cs="Times New Roman"/>
      <w:b/>
      <w:sz w:val="30"/>
      <w:szCs w:val="20"/>
    </w:rPr>
  </w:style>
  <w:style w:type="paragraph" w:styleId="931" w:customStyle="1">
    <w:name w:val="列表 21"/>
    <w:basedOn w:val="700"/>
    <w:uiPriority w:val="0"/>
    <w:qFormat/>
    <w:pPr>
      <w:ind w:left="840" w:hanging="420"/>
    </w:pPr>
    <w:rPr>
      <w:rFonts w:hAnsi="宋体"/>
      <w:color w:val="000000"/>
      <w:spacing w:val="-8"/>
    </w:rPr>
  </w:style>
  <w:style w:type="paragraph" w:styleId="932" w:customStyle="1">
    <w:name w:val="列表接续1"/>
    <w:basedOn w:val="700"/>
    <w:uiPriority w:val="0"/>
    <w:qFormat/>
    <w:pPr>
      <w:ind w:left="420" w:firstLine="448"/>
      <w:spacing w:after="120"/>
    </w:pPr>
    <w:rPr>
      <w:rFonts w:hAnsi="宋体"/>
      <w:color w:val="000000"/>
      <w:spacing w:val="-8"/>
    </w:rPr>
  </w:style>
  <w:style w:type="paragraph" w:styleId="933" w:customStyle="1">
    <w:name w:val="文本块1"/>
    <w:basedOn w:val="700"/>
    <w:uiPriority w:val="0"/>
    <w:qFormat/>
    <w:pPr>
      <w:ind w:left="420" w:right="33"/>
      <w:jc w:val="left"/>
    </w:pPr>
    <w:rPr>
      <w:sz w:val="24"/>
    </w:rPr>
  </w:style>
  <w:style w:type="paragraph" w:styleId="934" w:customStyle="1">
    <w:name w:val="列表项目符号 21"/>
    <w:basedOn w:val="700"/>
    <w:uiPriority w:val="0"/>
    <w:qFormat/>
    <w:pPr>
      <w:ind w:left="780" w:firstLine="200"/>
      <w:tabs>
        <w:tab w:val="left" w:pos="780" w:leader="none"/>
      </w:tabs>
    </w:pPr>
    <w:rPr>
      <w:rFonts w:hAnsi="宋体"/>
      <w:color w:val="000000"/>
      <w:spacing w:val="-8"/>
    </w:rPr>
  </w:style>
  <w:style w:type="paragraph" w:styleId="935" w:customStyle="1">
    <w:name w:val="索引 41"/>
    <w:basedOn w:val="700"/>
    <w:next w:val="700"/>
    <w:uiPriority w:val="0"/>
    <w:unhideWhenUsed/>
    <w:qFormat/>
    <w:pPr>
      <w:ind w:left="600"/>
    </w:pPr>
  </w:style>
  <w:style w:type="paragraph" w:styleId="936" w:customStyle="1">
    <w:name w:val="目录 51"/>
    <w:basedOn w:val="700"/>
    <w:next w:val="700"/>
    <w:uiPriority w:val="0"/>
    <w:qFormat/>
    <w:pPr>
      <w:ind w:left="840" w:firstLine="420"/>
      <w:jc w:val="left"/>
      <w:spacing w:line="288" w:lineRule="auto"/>
    </w:pPr>
    <w:rPr>
      <w:sz w:val="18"/>
      <w:szCs w:val="18"/>
    </w:rPr>
  </w:style>
  <w:style w:type="paragraph" w:styleId="937" w:customStyle="1">
    <w:name w:val="目录 31"/>
    <w:basedOn w:val="700"/>
    <w:next w:val="700"/>
    <w:uiPriority w:val="0"/>
    <w:qFormat/>
    <w:pPr>
      <w:ind w:left="420" w:firstLine="420"/>
      <w:jc w:val="left"/>
      <w:spacing w:line="288" w:lineRule="auto"/>
    </w:pPr>
    <w:rPr>
      <w:iCs/>
      <w:sz w:val="20"/>
    </w:rPr>
  </w:style>
  <w:style w:type="paragraph" w:styleId="938" w:customStyle="1">
    <w:name w:val="纯文本11"/>
    <w:basedOn w:val="700"/>
    <w:link w:val="939"/>
    <w:uiPriority w:val="0"/>
    <w:qFormat/>
    <w:rPr>
      <w:rFonts w:ascii="宋体" w:hAnsi="Courier New"/>
      <w:szCs w:val="21"/>
    </w:rPr>
  </w:style>
  <w:style w:type="character" w:styleId="939" w:customStyle="1">
    <w:name w:val="纯文本 Char"/>
    <w:link w:val="938"/>
    <w:uiPriority w:val="0"/>
    <w:qFormat/>
    <w:rPr>
      <w:rFonts w:ascii="宋体" w:hAnsi="Courier New"/>
      <w:sz w:val="21"/>
      <w:szCs w:val="21"/>
    </w:rPr>
  </w:style>
  <w:style w:type="paragraph" w:styleId="940" w:customStyle="1">
    <w:name w:val="列表项目符号 51"/>
    <w:basedOn w:val="700"/>
    <w:uiPriority w:val="0"/>
    <w:qFormat/>
    <w:pPr>
      <w:ind w:left="2040" w:hanging="360"/>
      <w:spacing w:line="360" w:lineRule="exact"/>
      <w:widowControl/>
      <w:tabs>
        <w:tab w:val="left" w:pos="2040" w:leader="none"/>
      </w:tabs>
    </w:pPr>
    <w:rPr>
      <w:rFonts w:eastAsia="楷体_GB2312"/>
      <w:sz w:val="24"/>
    </w:rPr>
  </w:style>
  <w:style w:type="paragraph" w:styleId="941" w:customStyle="1">
    <w:name w:val="目录 81"/>
    <w:basedOn w:val="700"/>
    <w:next w:val="700"/>
    <w:uiPriority w:val="0"/>
    <w:qFormat/>
    <w:pPr>
      <w:ind w:left="1470" w:firstLine="420"/>
      <w:jc w:val="left"/>
      <w:spacing w:line="288" w:lineRule="auto"/>
    </w:pPr>
    <w:rPr>
      <w:sz w:val="18"/>
      <w:szCs w:val="18"/>
    </w:rPr>
  </w:style>
  <w:style w:type="paragraph" w:styleId="942" w:customStyle="1">
    <w:name w:val="索引 31"/>
    <w:basedOn w:val="700"/>
    <w:next w:val="700"/>
    <w:uiPriority w:val="0"/>
    <w:qFormat/>
    <w:pPr>
      <w:ind w:left="400"/>
    </w:pPr>
  </w:style>
  <w:style w:type="paragraph" w:styleId="943" w:customStyle="1">
    <w:name w:val="日期1"/>
    <w:basedOn w:val="700"/>
    <w:next w:val="700"/>
    <w:link w:val="944"/>
    <w:uiPriority w:val="0"/>
    <w:qFormat/>
    <w:rPr>
      <w:rFonts w:eastAsia="黑体"/>
      <w:b/>
      <w:sz w:val="36"/>
    </w:rPr>
  </w:style>
  <w:style w:type="character" w:styleId="944" w:customStyle="1">
    <w:name w:val="日期 Char"/>
    <w:link w:val="943"/>
    <w:uiPriority w:val="0"/>
    <w:qFormat/>
    <w:rPr>
      <w:rFonts w:ascii="Times New Roman" w:hAnsi="Times New Roman" w:eastAsia="黑体" w:cs="Times New Roman"/>
      <w:b/>
      <w:sz w:val="36"/>
      <w:szCs w:val="20"/>
    </w:rPr>
  </w:style>
  <w:style w:type="paragraph" w:styleId="945" w:customStyle="1">
    <w:name w:val="正文文本缩进 21"/>
    <w:basedOn w:val="700"/>
    <w:link w:val="946"/>
    <w:uiPriority w:val="0"/>
    <w:qFormat/>
    <w:pPr>
      <w:ind w:left="900"/>
    </w:pPr>
    <w:rPr>
      <w:rFonts w:ascii="楷体_GB2312" w:eastAsia="楷体_GB2312"/>
      <w:b/>
      <w:sz w:val="28"/>
    </w:rPr>
  </w:style>
  <w:style w:type="character" w:styleId="946" w:customStyle="1">
    <w:name w:val="正文文本缩进 2 Char"/>
    <w:link w:val="945"/>
    <w:uiPriority w:val="0"/>
    <w:qFormat/>
    <w:rPr>
      <w:rFonts w:ascii="楷体_GB2312" w:hAnsi="Times New Roman" w:eastAsia="楷体_GB2312" w:cs="Times New Roman"/>
      <w:b/>
      <w:sz w:val="28"/>
      <w:szCs w:val="20"/>
    </w:rPr>
  </w:style>
  <w:style w:type="paragraph" w:styleId="947" w:customStyle="1">
    <w:name w:val="批注框文本1"/>
    <w:basedOn w:val="700"/>
    <w:link w:val="948"/>
    <w:uiPriority w:val="0"/>
    <w:unhideWhenUsed/>
    <w:qFormat/>
    <w:rPr>
      <w:sz w:val="18"/>
      <w:szCs w:val="18"/>
    </w:rPr>
  </w:style>
  <w:style w:type="character" w:styleId="948" w:customStyle="1">
    <w:name w:val="批注框文本 Char"/>
    <w:link w:val="947"/>
    <w:uiPriority w:val="0"/>
    <w:qFormat/>
    <w:rPr>
      <w:rFonts w:ascii="Times New Roman" w:hAnsi="Times New Roman" w:eastAsia="宋体" w:cs="Times New Roman"/>
      <w:sz w:val="18"/>
      <w:szCs w:val="18"/>
    </w:rPr>
  </w:style>
  <w:style w:type="paragraph" w:styleId="949" w:customStyle="1">
    <w:name w:val="页脚1"/>
    <w:basedOn w:val="700"/>
    <w:link w:val="950"/>
    <w:uiPriority w:val="99"/>
    <w:unhideWhenUsed/>
    <w:qFormat/>
    <w:pPr>
      <w:jc w:val="left"/>
      <w:tabs>
        <w:tab w:val="center" w:pos="4153" w:leader="none"/>
        <w:tab w:val="right" w:pos="8306" w:leader="none"/>
      </w:tabs>
    </w:pPr>
    <w:rPr>
      <w:sz w:val="18"/>
      <w:szCs w:val="18"/>
    </w:rPr>
  </w:style>
  <w:style w:type="character" w:styleId="950" w:customStyle="1">
    <w:name w:val="页脚 Char"/>
    <w:link w:val="949"/>
    <w:uiPriority w:val="99"/>
    <w:qFormat/>
    <w:rPr>
      <w:sz w:val="18"/>
      <w:szCs w:val="18"/>
    </w:rPr>
  </w:style>
  <w:style w:type="paragraph" w:styleId="951" w:customStyle="1">
    <w:name w:val="页眉11"/>
    <w:basedOn w:val="700"/>
    <w:link w:val="9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Char"/>
    <w:link w:val="951"/>
    <w:uiPriority w:val="99"/>
    <w:qFormat/>
    <w:rPr>
      <w:sz w:val="18"/>
      <w:szCs w:val="18"/>
    </w:rPr>
  </w:style>
  <w:style w:type="paragraph" w:styleId="953" w:customStyle="1">
    <w:name w:val="目录 11"/>
    <w:basedOn w:val="700"/>
    <w:next w:val="700"/>
    <w:uiPriority w:val="0"/>
    <w:qFormat/>
    <w:pPr>
      <w:spacing w:before="120" w:after="120" w:line="288" w:lineRule="auto"/>
      <w:tabs>
        <w:tab w:val="right" w:pos="8296" w:leader="dot"/>
      </w:tabs>
    </w:pPr>
    <w:rPr>
      <w:rFonts w:ascii="黑体" w:hAnsi="宋体" w:eastAsia="黑体"/>
      <w:caps/>
      <w:sz w:val="30"/>
      <w:szCs w:val="30"/>
    </w:rPr>
  </w:style>
  <w:style w:type="paragraph" w:styleId="954" w:customStyle="1">
    <w:name w:val="目录 41"/>
    <w:basedOn w:val="700"/>
    <w:next w:val="700"/>
    <w:uiPriority w:val="0"/>
    <w:qFormat/>
    <w:pPr>
      <w:ind w:left="630" w:firstLine="420"/>
      <w:jc w:val="left"/>
      <w:spacing w:line="288" w:lineRule="auto"/>
    </w:pPr>
    <w:rPr>
      <w:sz w:val="18"/>
      <w:szCs w:val="18"/>
    </w:rPr>
  </w:style>
  <w:style w:type="paragraph" w:styleId="955" w:customStyle="1">
    <w:name w:val="副标题1"/>
    <w:basedOn w:val="700"/>
    <w:next w:val="700"/>
    <w:link w:val="956"/>
    <w:uiPriority w:val="0"/>
    <w:qFormat/>
    <w:pPr>
      <w:jc w:val="left"/>
      <w:outlineLvl w:val="1"/>
    </w:pPr>
    <w:rPr>
      <w:rFonts w:ascii="Calibri Light" w:hAnsi="Calibri Light" w:eastAsia="仿宋"/>
      <w:b/>
      <w:bCs/>
      <w:sz w:val="28"/>
      <w:szCs w:val="32"/>
    </w:rPr>
  </w:style>
  <w:style w:type="character" w:styleId="956" w:customStyle="1">
    <w:name w:val="副标题 Char"/>
    <w:link w:val="955"/>
    <w:uiPriority w:val="0"/>
    <w:qFormat/>
    <w:rPr>
      <w:rFonts w:ascii="Calibri Light" w:hAnsi="Calibri Light" w:eastAsia="仿宋"/>
      <w:b/>
      <w:bCs/>
      <w:sz w:val="28"/>
      <w:szCs w:val="32"/>
    </w:rPr>
  </w:style>
  <w:style w:type="paragraph" w:styleId="957" w:customStyle="1">
    <w:name w:val="列表11"/>
    <w:basedOn w:val="700"/>
    <w:uiPriority w:val="0"/>
    <w:qFormat/>
    <w:pPr>
      <w:numPr>
        <w:ilvl w:val="0"/>
        <w:numId w:val="2"/>
      </w:numPr>
      <w:spacing w:after="20" w:line="288" w:lineRule="auto"/>
      <w:tabs>
        <w:tab w:val="left" w:pos="420" w:leader="none"/>
      </w:tabs>
    </w:pPr>
    <w:rPr>
      <w:rFonts w:ascii="Calibri" w:hAnsi="Calibri"/>
      <w:lang w:val="en-GB"/>
    </w:rPr>
  </w:style>
  <w:style w:type="paragraph" w:styleId="958" w:customStyle="1">
    <w:name w:val="脚注文本1"/>
    <w:basedOn w:val="700"/>
    <w:link w:val="959"/>
    <w:uiPriority w:val="0"/>
    <w:qFormat/>
    <w:pPr>
      <w:ind w:firstLine="425"/>
      <w:jc w:val="left"/>
      <w:spacing w:before="120" w:line="360" w:lineRule="auto"/>
    </w:pPr>
    <w:rPr>
      <w:sz w:val="18"/>
    </w:rPr>
  </w:style>
  <w:style w:type="character" w:styleId="959" w:customStyle="1">
    <w:name w:val="脚注文本 Char"/>
    <w:link w:val="958"/>
    <w:uiPriority w:val="0"/>
    <w:qFormat/>
    <w:rPr>
      <w:rFonts w:ascii="Times New Roman" w:hAnsi="Times New Roman"/>
      <w:sz w:val="18"/>
    </w:rPr>
  </w:style>
  <w:style w:type="paragraph" w:styleId="960" w:customStyle="1">
    <w:name w:val="目录 61"/>
    <w:basedOn w:val="700"/>
    <w:next w:val="700"/>
    <w:uiPriority w:val="0"/>
    <w:qFormat/>
    <w:pPr>
      <w:ind w:left="1050" w:firstLine="420"/>
      <w:jc w:val="left"/>
      <w:spacing w:line="288" w:lineRule="auto"/>
    </w:pPr>
    <w:rPr>
      <w:sz w:val="18"/>
      <w:szCs w:val="18"/>
    </w:rPr>
  </w:style>
  <w:style w:type="paragraph" w:styleId="961" w:customStyle="1">
    <w:name w:val="列表 51"/>
    <w:basedOn w:val="700"/>
    <w:uiPriority w:val="0"/>
    <w:qFormat/>
    <w:pPr>
      <w:ind w:left="2100" w:hanging="420"/>
    </w:pPr>
    <w:rPr>
      <w:rFonts w:hAnsi="宋体"/>
      <w:color w:val="000000"/>
      <w:spacing w:val="-8"/>
    </w:rPr>
  </w:style>
  <w:style w:type="paragraph" w:styleId="962" w:customStyle="1">
    <w:name w:val="正文文本缩进 31"/>
    <w:basedOn w:val="700"/>
    <w:link w:val="963"/>
    <w:uiPriority w:val="0"/>
    <w:qFormat/>
    <w:pPr>
      <w:ind w:left="359" w:firstLine="359"/>
    </w:pPr>
    <w:rPr>
      <w:sz w:val="20"/>
    </w:rPr>
  </w:style>
  <w:style w:type="character" w:styleId="963" w:customStyle="1">
    <w:name w:val="正文文本缩进 3 Char"/>
    <w:link w:val="962"/>
    <w:uiPriority w:val="0"/>
    <w:qFormat/>
    <w:rPr>
      <w:rFonts w:ascii="Times New Roman" w:hAnsi="Times New Roman" w:eastAsia="宋体" w:cs="Times New Roman"/>
      <w:szCs w:val="20"/>
    </w:rPr>
  </w:style>
  <w:style w:type="paragraph" w:styleId="964" w:customStyle="1">
    <w:name w:val="索引 71"/>
    <w:basedOn w:val="700"/>
    <w:next w:val="700"/>
    <w:uiPriority w:val="0"/>
    <w:qFormat/>
    <w:pPr>
      <w:ind w:left="1200"/>
    </w:pPr>
  </w:style>
  <w:style w:type="paragraph" w:styleId="965" w:customStyle="1">
    <w:name w:val="索引 91"/>
    <w:basedOn w:val="700"/>
    <w:next w:val="700"/>
    <w:uiPriority w:val="0"/>
    <w:qFormat/>
    <w:pPr>
      <w:ind w:left="1600"/>
    </w:pPr>
  </w:style>
  <w:style w:type="paragraph" w:styleId="966" w:customStyle="1">
    <w:name w:val="目录 21"/>
    <w:basedOn w:val="700"/>
    <w:next w:val="700"/>
    <w:uiPriority w:val="0"/>
    <w:qFormat/>
    <w:pPr>
      <w:ind w:left="210" w:firstLine="420"/>
      <w:jc w:val="left"/>
      <w:spacing w:line="288" w:lineRule="auto"/>
    </w:pPr>
    <w:rPr>
      <w:smallCaps/>
      <w:sz w:val="20"/>
    </w:rPr>
  </w:style>
  <w:style w:type="paragraph" w:styleId="967" w:customStyle="1">
    <w:name w:val="目录 91"/>
    <w:basedOn w:val="700"/>
    <w:next w:val="700"/>
    <w:uiPriority w:val="0"/>
    <w:qFormat/>
    <w:pPr>
      <w:ind w:left="1680" w:firstLine="420"/>
      <w:jc w:val="left"/>
      <w:spacing w:line="288" w:lineRule="auto"/>
    </w:pPr>
    <w:rPr>
      <w:sz w:val="18"/>
      <w:szCs w:val="18"/>
    </w:rPr>
  </w:style>
  <w:style w:type="paragraph" w:styleId="968" w:customStyle="1">
    <w:name w:val="正文文本 21"/>
    <w:basedOn w:val="700"/>
    <w:link w:val="969"/>
    <w:uiPriority w:val="0"/>
    <w:qFormat/>
    <w:pPr>
      <w:spacing w:after="120" w:line="480" w:lineRule="auto"/>
    </w:pPr>
    <w:rPr>
      <w:sz w:val="20"/>
    </w:rPr>
  </w:style>
  <w:style w:type="character" w:styleId="969" w:customStyle="1">
    <w:name w:val="正文文本 2 Char"/>
    <w:link w:val="968"/>
    <w:uiPriority w:val="0"/>
    <w:qFormat/>
    <w:rPr>
      <w:rFonts w:ascii="Times New Roman" w:hAnsi="Times New Roman" w:eastAsia="宋体" w:cs="Times New Roman"/>
      <w:szCs w:val="20"/>
    </w:rPr>
  </w:style>
  <w:style w:type="paragraph" w:styleId="970" w:customStyle="1">
    <w:name w:val="列表 41"/>
    <w:basedOn w:val="700"/>
    <w:uiPriority w:val="0"/>
    <w:qFormat/>
    <w:pPr>
      <w:ind w:left="1680" w:hanging="420"/>
    </w:pPr>
    <w:rPr>
      <w:rFonts w:hAnsi="宋体"/>
      <w:color w:val="000000"/>
      <w:spacing w:val="-8"/>
    </w:rPr>
  </w:style>
  <w:style w:type="paragraph" w:styleId="971" w:customStyle="1">
    <w:name w:val="列表接续 21"/>
    <w:basedOn w:val="700"/>
    <w:uiPriority w:val="0"/>
    <w:qFormat/>
    <w:pPr>
      <w:ind w:left="840" w:firstLine="448"/>
      <w:spacing w:after="120"/>
    </w:pPr>
    <w:rPr>
      <w:rFonts w:hAnsi="宋体"/>
      <w:color w:val="000000"/>
      <w:spacing w:val="-8"/>
    </w:rPr>
  </w:style>
  <w:style w:type="paragraph" w:styleId="972" w:customStyle="1">
    <w:name w:val="信息标题1"/>
    <w:basedOn w:val="926"/>
    <w:link w:val="973"/>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73" w:customStyle="1">
    <w:name w:val="信息标题 Char"/>
    <w:link w:val="972"/>
    <w:uiPriority w:val="0"/>
    <w:qFormat/>
    <w:rPr>
      <w:rFonts w:ascii="Garamond" w:hAnsi="Garamond"/>
      <w:color w:val="000000"/>
      <w:spacing w:val="-8"/>
      <w:sz w:val="18"/>
      <w:lang w:bidi="he-IL"/>
    </w:rPr>
  </w:style>
  <w:style w:type="paragraph" w:styleId="974" w:customStyle="1">
    <w:name w:val="HTML 预设格式1"/>
    <w:basedOn w:val="700"/>
    <w:link w:val="97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5" w:customStyle="1">
    <w:name w:val="HTML 预设格式 Char"/>
    <w:link w:val="974"/>
    <w:uiPriority w:val="0"/>
    <w:qFormat/>
    <w:rPr>
      <w:rFonts w:ascii="黑体" w:hAnsi="Courier New" w:eastAsia="黑体"/>
    </w:rPr>
  </w:style>
  <w:style w:type="paragraph" w:styleId="976" w:customStyle="1">
    <w:name w:val="普通(网站)1"/>
    <w:basedOn w:val="700"/>
    <w:link w:val="977"/>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77" w:customStyle="1">
    <w:name w:val="普通(网站) Char"/>
    <w:link w:val="976"/>
    <w:uiPriority w:val="0"/>
    <w:qFormat/>
    <w:rPr>
      <w:rFonts w:ascii="宋体" w:hAnsi="宋体"/>
      <w:sz w:val="24"/>
      <w:szCs w:val="24"/>
    </w:rPr>
  </w:style>
  <w:style w:type="paragraph" w:styleId="978" w:customStyle="1">
    <w:name w:val="列表接续 31"/>
    <w:basedOn w:val="700"/>
    <w:uiPriority w:val="0"/>
    <w:qFormat/>
    <w:pPr>
      <w:ind w:left="1260" w:firstLine="448"/>
      <w:spacing w:after="120"/>
    </w:pPr>
    <w:rPr>
      <w:rFonts w:hAnsi="宋体"/>
      <w:color w:val="000000"/>
      <w:spacing w:val="-8"/>
    </w:rPr>
  </w:style>
  <w:style w:type="paragraph" w:styleId="979" w:customStyle="1">
    <w:name w:val="索引 11"/>
    <w:basedOn w:val="700"/>
    <w:next w:val="700"/>
    <w:uiPriority w:val="0"/>
    <w:qFormat/>
  </w:style>
  <w:style w:type="paragraph" w:styleId="980" w:customStyle="1">
    <w:name w:val="索引 21"/>
    <w:basedOn w:val="700"/>
    <w:next w:val="700"/>
    <w:uiPriority w:val="0"/>
    <w:qFormat/>
    <w:pPr>
      <w:ind w:left="200"/>
    </w:pPr>
  </w:style>
  <w:style w:type="paragraph" w:styleId="981" w:customStyle="1">
    <w:name w:val="标题1"/>
    <w:basedOn w:val="700"/>
    <w:link w:val="982"/>
    <w:uiPriority w:val="10"/>
    <w:qFormat/>
    <w:pPr>
      <w:ind w:firstLine="420"/>
      <w:jc w:val="center"/>
      <w:spacing w:before="240" w:after="60" w:line="288" w:lineRule="auto"/>
      <w:outlineLvl w:val="0"/>
    </w:pPr>
    <w:rPr>
      <w:rFonts w:ascii="Arial" w:hAnsi="Arial"/>
      <w:b/>
      <w:bCs/>
      <w:sz w:val="32"/>
      <w:szCs w:val="32"/>
    </w:rPr>
  </w:style>
  <w:style w:type="character" w:styleId="982" w:customStyle="1">
    <w:name w:val="标题 Char"/>
    <w:link w:val="981"/>
    <w:uiPriority w:val="10"/>
    <w:qFormat/>
    <w:rPr>
      <w:rFonts w:ascii="Arial" w:hAnsi="Arial"/>
      <w:b/>
      <w:bCs/>
      <w:sz w:val="32"/>
      <w:szCs w:val="32"/>
    </w:rPr>
  </w:style>
  <w:style w:type="paragraph" w:styleId="983" w:customStyle="1">
    <w:name w:val="批注主题1"/>
    <w:basedOn w:val="917"/>
    <w:next w:val="917"/>
    <w:link w:val="984"/>
    <w:uiPriority w:val="0"/>
    <w:qFormat/>
    <w:rPr>
      <w:b/>
      <w:bCs/>
    </w:rPr>
  </w:style>
  <w:style w:type="character" w:styleId="984" w:customStyle="1">
    <w:name w:val="批注主题 Char"/>
    <w:link w:val="983"/>
    <w:uiPriority w:val="0"/>
    <w:qFormat/>
    <w:rPr>
      <w:rFonts w:ascii="Times New Roman" w:hAnsi="Times New Roman" w:eastAsia="宋体" w:cs="Times New Roman"/>
      <w:b/>
      <w:bCs/>
      <w:szCs w:val="24"/>
    </w:rPr>
  </w:style>
  <w:style w:type="paragraph" w:styleId="985" w:customStyle="1">
    <w:name w:val="正文首行缩进1"/>
    <w:basedOn w:val="700"/>
    <w:link w:val="986"/>
    <w:uiPriority w:val="0"/>
    <w:unhideWhenUsed/>
    <w:qFormat/>
    <w:pPr>
      <w:ind w:firstLine="420"/>
      <w:spacing w:after="120"/>
    </w:pPr>
    <w:rPr>
      <w:rFonts w:eastAsia="华文中宋"/>
    </w:rPr>
  </w:style>
  <w:style w:type="character" w:styleId="986" w:customStyle="1">
    <w:name w:val="正文首行缩进 Char"/>
    <w:link w:val="985"/>
    <w:uiPriority w:val="0"/>
    <w:qFormat/>
    <w:rPr>
      <w:rFonts w:ascii="Times New Roman" w:hAnsi="Times New Roman" w:eastAsia="华文中宋" w:cs="Times New Roman"/>
      <w:sz w:val="21"/>
      <w:szCs w:val="20"/>
    </w:rPr>
  </w:style>
  <w:style w:type="paragraph" w:styleId="987" w:customStyle="1">
    <w:name w:val="正文首行缩进 21"/>
    <w:basedOn w:val="928"/>
    <w:next w:val="700"/>
    <w:link w:val="988"/>
    <w:uiPriority w:val="0"/>
    <w:qFormat/>
    <w:pPr>
      <w:ind w:firstLine="210"/>
      <w:spacing w:after="120"/>
    </w:pPr>
    <w:rPr>
      <w:rFonts w:ascii="Cambria Math" w:hAnsi="新宋体" w:eastAsia="Cambria Math"/>
      <w:b w:val="0"/>
      <w:color w:val="000000"/>
      <w:spacing w:val="-8"/>
      <w:sz w:val="21"/>
    </w:rPr>
  </w:style>
  <w:style w:type="character" w:styleId="988" w:customStyle="1">
    <w:name w:val="正文首行缩进 2 Char"/>
    <w:link w:val="987"/>
    <w:uiPriority w:val="0"/>
    <w:qFormat/>
    <w:rPr>
      <w:rFonts w:ascii="Cambria Math" w:hAnsi="新宋体" w:eastAsia="Cambria Math" w:cs="Times New Roman"/>
      <w:color w:val="000000"/>
      <w:spacing w:val="-8"/>
      <w:sz w:val="21"/>
      <w:szCs w:val="20"/>
    </w:rPr>
  </w:style>
  <w:style w:type="table" w:styleId="989" w:customStyle="1">
    <w:name w:val="网格型1"/>
    <w:basedOn w:val="897"/>
    <w:uiPriority w:val="0"/>
    <w:qFormat/>
    <w:tblPr/>
  </w:style>
  <w:style w:type="character" w:styleId="990" w:customStyle="1">
    <w:name w:val="要点1"/>
    <w:link w:val="700"/>
    <w:uiPriority w:val="0"/>
    <w:qFormat/>
    <w:rPr>
      <w:rFonts w:cs="Times New Roman"/>
      <w:b/>
      <w:bCs/>
    </w:rPr>
  </w:style>
  <w:style w:type="character" w:styleId="991" w:customStyle="1">
    <w:name w:val="页码1"/>
    <w:link w:val="700"/>
    <w:uiPriority w:val="0"/>
    <w:qFormat/>
    <w:rPr>
      <w:rFonts w:cs="Times New Roman"/>
    </w:rPr>
  </w:style>
  <w:style w:type="character" w:styleId="992" w:customStyle="1">
    <w:name w:val="已访问的超链接1"/>
    <w:link w:val="700"/>
    <w:uiPriority w:val="0"/>
    <w:qFormat/>
    <w:rPr>
      <w:rFonts w:cs="Times New Roman"/>
      <w:color w:val="000000"/>
      <w:u w:val="none"/>
    </w:rPr>
  </w:style>
  <w:style w:type="character" w:styleId="993" w:customStyle="1">
    <w:name w:val="强调1"/>
    <w:link w:val="700"/>
    <w:uiPriority w:val="0"/>
    <w:qFormat/>
    <w:rPr>
      <w:i/>
    </w:rPr>
  </w:style>
  <w:style w:type="character" w:styleId="994" w:customStyle="1">
    <w:name w:val="HTML 打字机1"/>
    <w:link w:val="700"/>
    <w:uiPriority w:val="0"/>
    <w:qFormat/>
    <w:rPr>
      <w:rFonts w:ascii="宋体" w:hAnsi="宋体" w:eastAsia="宋体" w:cs="宋体"/>
      <w:sz w:val="24"/>
      <w:szCs w:val="24"/>
    </w:rPr>
  </w:style>
  <w:style w:type="character" w:styleId="995" w:customStyle="1">
    <w:name w:val="超链接1"/>
    <w:link w:val="700"/>
    <w:uiPriority w:val="99"/>
    <w:qFormat/>
    <w:rPr>
      <w:color w:val="000000"/>
      <w:u w:val="none"/>
    </w:rPr>
  </w:style>
  <w:style w:type="character" w:styleId="996" w:customStyle="1">
    <w:name w:val="批注引用1"/>
    <w:link w:val="700"/>
    <w:uiPriority w:val="0"/>
    <w:unhideWhenUsed/>
    <w:qFormat/>
    <w:rPr>
      <w:sz w:val="21"/>
      <w:szCs w:val="21"/>
    </w:rPr>
  </w:style>
  <w:style w:type="character" w:styleId="997" w:customStyle="1">
    <w:name w:val="脚注引用1"/>
    <w:link w:val="700"/>
    <w:uiPriority w:val="0"/>
    <w:qFormat/>
    <w:rPr>
      <w:rFonts w:ascii="宋体" w:hAnsi="宋体" w:eastAsia="宋体"/>
      <w:vertAlign w:val="superscript"/>
    </w:rPr>
  </w:style>
  <w:style w:type="character" w:styleId="998" w:customStyle="1">
    <w:name w:val="HTML 样本1"/>
    <w:basedOn w:val="896"/>
    <w:link w:val="700"/>
    <w:uiPriority w:val="0"/>
    <w:qFormat/>
    <w:rPr>
      <w:rFonts w:ascii="Courier New" w:hAnsi="Courier New"/>
    </w:rPr>
  </w:style>
  <w:style w:type="paragraph" w:styleId="999" w:customStyle="1">
    <w:name w:val="正文文本1"/>
    <w:basedOn w:val="700"/>
    <w:next w:val="1000"/>
    <w:uiPriority w:val="0"/>
    <w:qFormat/>
    <w:rPr>
      <w:rFonts w:ascii="仿宋_GB2312" w:eastAsia="仿宋_GB2312"/>
      <w:sz w:val="28"/>
      <w:szCs w:val="20"/>
    </w:rPr>
  </w:style>
  <w:style w:type="paragraph" w:styleId="1000" w:customStyle="1">
    <w:name w:val="列表1"/>
    <w:basedOn w:val="700"/>
    <w:uiPriority w:val="0"/>
    <w:qFormat/>
    <w:pPr>
      <w:numPr>
        <w:ilvl w:val="0"/>
        <w:numId w:val="3"/>
      </w:numPr>
      <w:spacing w:after="20" w:line="288" w:lineRule="auto"/>
    </w:pPr>
    <w:rPr>
      <w:szCs w:val="20"/>
      <w:lang w:val="en-GB"/>
    </w:rPr>
  </w:style>
  <w:style w:type="character" w:styleId="1001" w:customStyle="1">
    <w:name w:val="日期 Char1"/>
    <w:link w:val="700"/>
    <w:uiPriority w:val="99"/>
    <w:semiHidden/>
    <w:qFormat/>
    <w:rPr>
      <w:rFonts w:ascii="Times New Roman" w:hAnsi="Times New Roman" w:eastAsia="宋体" w:cs="Times New Roman"/>
      <w:szCs w:val="20"/>
    </w:rPr>
  </w:style>
  <w:style w:type="character" w:styleId="1002" w:customStyle="1">
    <w:name w:val="正文文本缩进 Char1"/>
    <w:link w:val="700"/>
    <w:uiPriority w:val="99"/>
    <w:semiHidden/>
    <w:qFormat/>
    <w:rPr>
      <w:rFonts w:ascii="Times New Roman" w:hAnsi="Times New Roman" w:eastAsia="宋体" w:cs="Times New Roman"/>
      <w:szCs w:val="20"/>
    </w:rPr>
  </w:style>
  <w:style w:type="character" w:styleId="1003" w:customStyle="1">
    <w:name w:val="正文文本缩进 2 Char1"/>
    <w:link w:val="700"/>
    <w:uiPriority w:val="99"/>
    <w:semiHidden/>
    <w:qFormat/>
    <w:rPr>
      <w:rFonts w:ascii="Times New Roman" w:hAnsi="Times New Roman" w:eastAsia="宋体" w:cs="Times New Roman"/>
      <w:szCs w:val="20"/>
    </w:rPr>
  </w:style>
  <w:style w:type="character" w:styleId="1004" w:customStyle="1">
    <w:name w:val="正文文本缩进 3 Char1"/>
    <w:link w:val="700"/>
    <w:uiPriority w:val="99"/>
    <w:semiHidden/>
    <w:qFormat/>
    <w:rPr>
      <w:rFonts w:ascii="Times New Roman" w:hAnsi="Times New Roman" w:eastAsia="宋体" w:cs="Times New Roman"/>
      <w:sz w:val="16"/>
      <w:szCs w:val="16"/>
    </w:rPr>
  </w:style>
  <w:style w:type="paragraph" w:styleId="1005" w:customStyle="1">
    <w:name w:val="普通文字"/>
    <w:basedOn w:val="700"/>
    <w:next w:val="700"/>
    <w:uiPriority w:val="0"/>
    <w:qFormat/>
    <w:rPr>
      <w:rFonts w:ascii="宋体"/>
      <w:sz w:val="24"/>
    </w:rPr>
  </w:style>
  <w:style w:type="character" w:styleId="1006" w:customStyle="1">
    <w:name w:val="文档结构图 Char1"/>
    <w:link w:val="700"/>
    <w:uiPriority w:val="99"/>
    <w:semiHidden/>
    <w:qFormat/>
    <w:rPr>
      <w:rFonts w:ascii="宋体" w:hAnsi="Times New Roman" w:eastAsia="宋体" w:cs="Times New Roman"/>
      <w:sz w:val="18"/>
      <w:szCs w:val="18"/>
    </w:rPr>
  </w:style>
  <w:style w:type="character" w:styleId="1007" w:customStyle="1">
    <w:name w:val="正文文本 2 Char1"/>
    <w:link w:val="700"/>
    <w:uiPriority w:val="99"/>
    <w:semiHidden/>
    <w:qFormat/>
    <w:rPr>
      <w:rFonts w:ascii="Times New Roman" w:hAnsi="Times New Roman" w:eastAsia="宋体" w:cs="Times New Roman"/>
      <w:szCs w:val="20"/>
    </w:rPr>
  </w:style>
  <w:style w:type="paragraph" w:styleId="1008" w:customStyle="1">
    <w:name w:val="列出段落"/>
    <w:basedOn w:val="700"/>
    <w:link w:val="1009"/>
    <w:uiPriority w:val="34"/>
    <w:qFormat/>
    <w:pPr>
      <w:ind w:firstLine="420"/>
    </w:pPr>
  </w:style>
  <w:style w:type="character" w:styleId="1009" w:customStyle="1">
    <w:name w:val="列出段落 Char1"/>
    <w:link w:val="1008"/>
    <w:uiPriority w:val="34"/>
    <w:qFormat/>
    <w:rPr>
      <w:rFonts w:ascii="Times New Roman" w:hAnsi="Times New Roman"/>
      <w:sz w:val="21"/>
    </w:rPr>
  </w:style>
  <w:style w:type="character" w:styleId="1010" w:customStyle="1">
    <w:name w:val="批注框文本 Char1"/>
    <w:link w:val="700"/>
    <w:uiPriority w:val="99"/>
    <w:semiHidden/>
    <w:qFormat/>
    <w:rPr>
      <w:rFonts w:ascii="Times New Roman" w:hAnsi="Times New Roman" w:eastAsia="宋体" w:cs="Times New Roman"/>
      <w:sz w:val="18"/>
      <w:szCs w:val="18"/>
    </w:rPr>
  </w:style>
  <w:style w:type="paragraph" w:styleId="1011" w:customStyle="1">
    <w:name w:val="样式 小四 段前: 5 磅 段后: 5 磅 首行缩进:  2 字符"/>
    <w:basedOn w:val="700"/>
    <w:uiPriority w:val="0"/>
    <w:qFormat/>
    <w:pPr>
      <w:jc w:val="center"/>
      <w:spacing w:line="360" w:lineRule="auto"/>
    </w:pPr>
    <w:rPr>
      <w:rFonts w:ascii="宋体" w:hAnsi="宋体"/>
      <w:bCs/>
      <w:color w:val="ff0000"/>
      <w:sz w:val="24"/>
      <w:szCs w:val="24"/>
    </w:rPr>
  </w:style>
  <w:style w:type="paragraph" w:styleId="101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3" w:customStyle="1">
    <w:name w:val="列出段落1"/>
    <w:basedOn w:val="700"/>
    <w:uiPriority w:val="0"/>
    <w:qFormat/>
    <w:pPr>
      <w:ind w:firstLine="420"/>
    </w:pPr>
    <w:rPr>
      <w:rFonts w:ascii="Calibri" w:hAnsi="Calibri"/>
      <w:color w:val="000000"/>
      <w:spacing w:val="-8"/>
      <w:szCs w:val="22"/>
    </w:rPr>
  </w:style>
  <w:style w:type="paragraph" w:styleId="1014">
    <w:name w:val="List Paragraph"/>
    <w:basedOn w:val="700"/>
    <w:uiPriority w:val="34"/>
    <w:qFormat/>
    <w:pPr>
      <w:ind w:firstLine="420"/>
    </w:pPr>
    <w:rPr>
      <w:szCs w:val="21"/>
    </w:rPr>
  </w:style>
  <w:style w:type="paragraph" w:styleId="1015" w:customStyle="1">
    <w:name w:val="样式 表格正文 + 两端对齐"/>
    <w:basedOn w:val="700"/>
    <w:next w:val="1016"/>
    <w:uiPriority w:val="99"/>
    <w:qFormat/>
    <w:pPr>
      <w:spacing w:line="300" w:lineRule="auto"/>
    </w:pPr>
    <w:rPr>
      <w:rFonts w:ascii="Calibri" w:hAnsi="Calibri"/>
      <w:szCs w:val="24"/>
    </w:rPr>
  </w:style>
  <w:style w:type="paragraph" w:styleId="1016" w:customStyle="1">
    <w:name w:val="正文1"/>
    <w:basedOn w:val="915"/>
    <w:next w:val="700"/>
    <w:uiPriority w:val="0"/>
    <w:qFormat/>
    <w:pPr>
      <w:ind w:right="1"/>
      <w:spacing w:line="360" w:lineRule="auto"/>
    </w:pPr>
    <w:rPr>
      <w:rFonts w:ascii="宋体" w:hAnsi="宋体"/>
      <w:color w:val="000000"/>
      <w:sz w:val="24"/>
      <w:shd w:val="clear" w:color="auto" w:fill="000080"/>
      <w:lang w:val="en-US" w:eastAsia="zh-CN"/>
    </w:rPr>
  </w:style>
  <w:style w:type="paragraph" w:styleId="1017" w:customStyle="1">
    <w:name w:val="样式 首行缩进:  0 字符"/>
    <w:basedOn w:val="700"/>
    <w:uiPriority w:val="0"/>
    <w:qFormat/>
    <w:pPr>
      <w:spacing w:line="360" w:lineRule="auto"/>
    </w:pPr>
    <w:rPr>
      <w:rFonts w:ascii="Arial" w:hAnsi="Arial" w:cs="宋体"/>
      <w:sz w:val="24"/>
      <w:szCs w:val="24"/>
    </w:rPr>
  </w:style>
  <w:style w:type="character" w:styleId="1018" w:customStyle="1">
    <w:name w:val="bookmark-item"/>
    <w:link w:val="700"/>
    <w:uiPriority w:val="0"/>
    <w:qFormat/>
  </w:style>
  <w:style w:type="character" w:styleId="1019" w:customStyle="1">
    <w:name w:val="font61"/>
    <w:link w:val="700"/>
    <w:uiPriority w:val="0"/>
    <w:qFormat/>
    <w:rPr>
      <w:rFonts w:ascii="微软雅黑" w:hAnsi="微软雅黑" w:eastAsia="微软雅黑" w:cs="微软雅黑"/>
      <w:color w:val="000000"/>
      <w:sz w:val="22"/>
      <w:szCs w:val="22"/>
      <w:u w:val="none"/>
    </w:rPr>
  </w:style>
  <w:style w:type="paragraph" w:styleId="1020"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21" w:customStyle="1">
    <w:name w:val="font41"/>
    <w:link w:val="700"/>
    <w:uiPriority w:val="0"/>
    <w:qFormat/>
    <w:rPr>
      <w:rFonts w:ascii="微软雅黑" w:hAnsi="微软雅黑" w:eastAsia="微软雅黑" w:cs="微软雅黑"/>
      <w:b/>
      <w:color w:val="ff0000"/>
      <w:sz w:val="22"/>
      <w:szCs w:val="22"/>
      <w:u w:val="none"/>
    </w:rPr>
  </w:style>
  <w:style w:type="character" w:styleId="1022" w:customStyle="1">
    <w:name w:val="font71"/>
    <w:link w:val="700"/>
    <w:uiPriority w:val="0"/>
    <w:qFormat/>
    <w:rPr>
      <w:rFonts w:ascii="Calibri" w:hAnsi="Calibri" w:cs="Calibri"/>
      <w:color w:val="000000"/>
      <w:sz w:val="20"/>
      <w:szCs w:val="20"/>
      <w:u w:val="none"/>
    </w:rPr>
  </w:style>
  <w:style w:type="character" w:styleId="1023" w:customStyle="1">
    <w:name w:val="font01"/>
    <w:link w:val="700"/>
    <w:uiPriority w:val="0"/>
    <w:qFormat/>
    <w:rPr>
      <w:rFonts w:ascii="Tahoma" w:hAnsi="Tahoma" w:eastAsia="Tahoma" w:cs="Tahoma"/>
      <w:color w:val="333333"/>
      <w:sz w:val="20"/>
      <w:szCs w:val="20"/>
      <w:u w:val="none"/>
    </w:rPr>
  </w:style>
  <w:style w:type="character" w:styleId="1024" w:customStyle="1">
    <w:name w:val="font11"/>
    <w:link w:val="700"/>
    <w:uiPriority w:val="0"/>
    <w:qFormat/>
    <w:rPr>
      <w:rFonts w:hint="eastAsia" w:ascii="宋体" w:hAnsi="宋体" w:eastAsia="宋体" w:cs="宋体"/>
      <w:color w:val="333333"/>
      <w:sz w:val="20"/>
      <w:szCs w:val="20"/>
      <w:u w:val="none"/>
    </w:rPr>
  </w:style>
  <w:style w:type="character" w:styleId="1025" w:customStyle="1">
    <w:name w:val="font21"/>
    <w:link w:val="700"/>
    <w:uiPriority w:val="0"/>
    <w:qFormat/>
    <w:rPr>
      <w:rFonts w:hint="eastAsia" w:ascii="宋体" w:hAnsi="宋体" w:eastAsia="宋体" w:cs="宋体"/>
      <w:color w:val="333333"/>
      <w:sz w:val="20"/>
      <w:szCs w:val="20"/>
      <w:u w:val="none"/>
    </w:rPr>
  </w:style>
  <w:style w:type="paragraph" w:styleId="102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27" w:customStyle="1">
    <w:name w:val="无"/>
    <w:link w:val="700"/>
    <w:uiPriority w:val="0"/>
    <w:qFormat/>
  </w:style>
  <w:style w:type="paragraph" w:styleId="1028" w:customStyle="1">
    <w:name w:val="paragraph"/>
    <w:basedOn w:val="700"/>
    <w:uiPriority w:val="0"/>
    <w:qFormat/>
    <w:pPr>
      <w:jc w:val="left"/>
      <w:spacing w:before="100" w:beforeAutospacing="1" w:after="100" w:afterAutospacing="1"/>
      <w:widowControl/>
    </w:pPr>
    <w:rPr>
      <w:rFonts w:ascii="宋体" w:hAnsi="宋体" w:cs="宋体"/>
      <w:sz w:val="24"/>
      <w:szCs w:val="24"/>
    </w:rPr>
  </w:style>
  <w:style w:type="paragraph" w:styleId="102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30" w:customStyle="1">
    <w:name w:val="纯文本111"/>
    <w:basedOn w:val="700"/>
    <w:uiPriority w:val="0"/>
    <w:qFormat/>
    <w:pPr>
      <w:spacing w:line="360" w:lineRule="auto"/>
    </w:pPr>
    <w:rPr>
      <w:rFonts w:ascii="宋体" w:hAnsi="Courier New"/>
      <w:sz w:val="26"/>
      <w:szCs w:val="24"/>
    </w:rPr>
  </w:style>
  <w:style w:type="character" w:styleId="1031" w:customStyle="1">
    <w:name w:val="列出段落 Char"/>
    <w:link w:val="700"/>
    <w:uiPriority w:val="34"/>
    <w:qFormat/>
    <w:rPr>
      <w:rFonts w:ascii="Calibri" w:hAnsi="Calibri"/>
      <w:sz w:val="21"/>
      <w:szCs w:val="22"/>
    </w:rPr>
  </w:style>
  <w:style w:type="paragraph" w:styleId="1032" w:customStyle="1">
    <w:name w:val="纯文本1"/>
    <w:basedOn w:val="700"/>
    <w:uiPriority w:val="0"/>
    <w:qFormat/>
    <w:rPr>
      <w:rFonts w:ascii="宋体" w:hAnsi="Courier New" w:eastAsia="楷体_GB2312"/>
      <w:sz w:val="26"/>
    </w:rPr>
  </w:style>
  <w:style w:type="paragraph" w:styleId="1033" w:customStyle="1">
    <w:name w:val="正文文本首行缩进 2"/>
    <w:basedOn w:val="928"/>
    <w:uiPriority w:val="99"/>
    <w:qFormat/>
    <w:pPr>
      <w:ind w:left="156" w:firstLine="420"/>
      <w:spacing w:line="200" w:lineRule="atLeast"/>
      <w:widowControl/>
    </w:pPr>
    <w:rPr>
      <w:rFonts w:ascii="宋体" w:hAnsi="Courier New" w:eastAsia="仿宋_GB2312"/>
      <w:b w:val="0"/>
      <w:spacing w:val="-4"/>
      <w:sz w:val="18"/>
    </w:rPr>
  </w:style>
  <w:style w:type="character" w:styleId="1034" w:customStyle="1">
    <w:name w:val="Char Char15"/>
    <w:link w:val="700"/>
    <w:uiPriority w:val="0"/>
    <w:qFormat/>
    <w:rPr>
      <w:rFonts w:ascii="仿宋_GB2312" w:hAnsi="Times New Roman" w:eastAsia="宋体" w:cs="Times New Roman"/>
      <w:sz w:val="24"/>
      <w:szCs w:val="24"/>
      <w:shd w:val="clear" w:color="auto" w:fill="000080"/>
    </w:rPr>
  </w:style>
  <w:style w:type="character" w:styleId="1035" w:customStyle="1">
    <w:name w:val="apple-converted-space"/>
    <w:link w:val="700"/>
    <w:uiPriority w:val="0"/>
    <w:qFormat/>
  </w:style>
  <w:style w:type="character" w:styleId="1036" w:customStyle="1">
    <w:name w:val="font"/>
    <w:link w:val="700"/>
    <w:uiPriority w:val="0"/>
    <w:qFormat/>
  </w:style>
  <w:style w:type="character" w:styleId="1037" w:customStyle="1">
    <w:name w:val="Char Char9"/>
    <w:link w:val="700"/>
    <w:uiPriority w:val="0"/>
    <w:qFormat/>
    <w:rPr>
      <w:rFonts w:ascii="Cambria" w:hAnsi="Cambria" w:eastAsia="宋体" w:cs="Times New Roman"/>
      <w:b/>
      <w:bCs/>
      <w:sz w:val="32"/>
      <w:szCs w:val="32"/>
    </w:rPr>
  </w:style>
  <w:style w:type="character" w:styleId="1038" w:customStyle="1">
    <w:name w:val="Char Char7"/>
    <w:link w:val="700"/>
    <w:uiPriority w:val="0"/>
    <w:qFormat/>
    <w:rPr>
      <w:rFonts w:ascii="Times New Roman" w:hAnsi="Times New Roman" w:eastAsia="宋体" w:cs="Times New Roman"/>
      <w:b/>
      <w:bCs/>
      <w:szCs w:val="21"/>
    </w:rPr>
  </w:style>
  <w:style w:type="character" w:styleId="1039" w:customStyle="1">
    <w:name w:val="itm1"/>
    <w:link w:val="700"/>
    <w:uiPriority w:val="0"/>
    <w:qFormat/>
    <w:rPr>
      <w:rFonts w:hint="eastAsia" w:ascii="宋体" w:hAnsi="宋体" w:eastAsia="宋体"/>
      <w:sz w:val="21"/>
      <w:szCs w:val="21"/>
    </w:rPr>
  </w:style>
  <w:style w:type="character" w:styleId="1040" w:customStyle="1">
    <w:name w:val="Char Char4"/>
    <w:link w:val="700"/>
    <w:uiPriority w:val="0"/>
    <w:qFormat/>
    <w:rPr>
      <w:sz w:val="18"/>
      <w:szCs w:val="18"/>
    </w:rPr>
  </w:style>
  <w:style w:type="character" w:styleId="1041" w:customStyle="1">
    <w:name w:val="b"/>
    <w:link w:val="700"/>
    <w:uiPriority w:val="0"/>
    <w:qFormat/>
  </w:style>
  <w:style w:type="character" w:styleId="1042" w:customStyle="1">
    <w:name w:val="apple-style-span"/>
    <w:link w:val="700"/>
    <w:uiPriority w:val="0"/>
    <w:qFormat/>
  </w:style>
  <w:style w:type="character" w:styleId="1043" w:customStyle="1">
    <w:name w:val="Char Char13"/>
    <w:link w:val="700"/>
    <w:uiPriority w:val="0"/>
    <w:qFormat/>
    <w:rPr>
      <w:rFonts w:ascii="仿宋_GB2312" w:hAnsi="Times New Roman" w:eastAsia="宋体" w:cs="Times New Roman"/>
      <w:sz w:val="18"/>
      <w:szCs w:val="18"/>
    </w:rPr>
  </w:style>
  <w:style w:type="character" w:styleId="1044" w:customStyle="1">
    <w:name w:val="表格 Char"/>
    <w:link w:val="1045"/>
    <w:uiPriority w:val="0"/>
    <w:qFormat/>
    <w:rPr>
      <w:sz w:val="21"/>
      <w:szCs w:val="21"/>
    </w:rPr>
  </w:style>
  <w:style w:type="paragraph" w:styleId="1045" w:customStyle="1">
    <w:name w:val="表格"/>
    <w:basedOn w:val="700"/>
    <w:link w:val="1044"/>
    <w:uiPriority w:val="0"/>
    <w:qFormat/>
    <w:pPr>
      <w:jc w:val="center"/>
    </w:pPr>
    <w:rPr>
      <w:szCs w:val="21"/>
    </w:rPr>
  </w:style>
  <w:style w:type="character" w:styleId="1046" w:customStyle="1">
    <w:name w:val="标题 311"/>
    <w:link w:val="700"/>
    <w:uiPriority w:val="0"/>
    <w:qFormat/>
    <w:rPr>
      <w:rFonts w:hint="eastAsia" w:ascii="黑体" w:hAnsi="ˎ̥" w:eastAsia="黑体"/>
      <w:sz w:val="28"/>
    </w:rPr>
  </w:style>
  <w:style w:type="character" w:styleId="1047" w:customStyle="1">
    <w:name w:val="Char Char Char Char Char Char Char Char Char Char Char Char Char"/>
    <w:link w:val="700"/>
    <w:uiPriority w:val="0"/>
    <w:qFormat/>
    <w:rPr>
      <w:rFonts w:eastAsia="宋体"/>
      <w:b/>
      <w:bCs/>
      <w:sz w:val="32"/>
      <w:szCs w:val="44"/>
      <w:lang w:val="en-US" w:eastAsia="zh-CN" w:bidi="ar-SA"/>
    </w:rPr>
  </w:style>
  <w:style w:type="character" w:styleId="1048" w:customStyle="1">
    <w:name w:val="表格正文 Char Char"/>
    <w:link w:val="1049"/>
    <w:uiPriority w:val="0"/>
    <w:qFormat/>
    <w:rPr>
      <w:sz w:val="21"/>
      <w:szCs w:val="24"/>
    </w:rPr>
  </w:style>
  <w:style w:type="paragraph" w:styleId="1049" w:customStyle="1">
    <w:name w:val="表格正文"/>
    <w:basedOn w:val="700"/>
    <w:link w:val="1048"/>
    <w:uiPriority w:val="0"/>
    <w:qFormat/>
    <w:rPr>
      <w:szCs w:val="24"/>
    </w:rPr>
  </w:style>
  <w:style w:type="character" w:styleId="1050" w:customStyle="1">
    <w:name w:val="Char Char8"/>
    <w:link w:val="700"/>
    <w:uiPriority w:val="0"/>
    <w:qFormat/>
    <w:rPr>
      <w:rFonts w:ascii="Times New Roman" w:hAnsi="Times New Roman"/>
      <w:b/>
      <w:bCs/>
      <w:sz w:val="44"/>
      <w:szCs w:val="44"/>
    </w:rPr>
  </w:style>
  <w:style w:type="character" w:styleId="1051" w:customStyle="1">
    <w:name w:val="unnamed21"/>
    <w:link w:val="700"/>
    <w:uiPriority w:val="0"/>
    <w:qFormat/>
    <w:rPr>
      <w:b/>
      <w:bCs/>
      <w:color w:val="ff6600"/>
      <w:sz w:val="21"/>
      <w:szCs w:val="21"/>
      <w:u w:val="none"/>
    </w:rPr>
  </w:style>
  <w:style w:type="character" w:styleId="1052" w:customStyle="1">
    <w:name w:val="tw4winTerm"/>
    <w:link w:val="700"/>
    <w:uiPriority w:val="0"/>
    <w:qFormat/>
    <w:rPr>
      <w:color w:val="0000ff"/>
    </w:rPr>
  </w:style>
  <w:style w:type="character" w:styleId="1053" w:customStyle="1">
    <w:name w:val="正文 + 宋体 Char"/>
    <w:link w:val="1054"/>
    <w:uiPriority w:val="0"/>
    <w:qFormat/>
    <w:rPr>
      <w:rFonts w:ascii="新宋体" w:hAnsi="宋体" w:eastAsia="黑体"/>
      <w:b/>
      <w:bCs/>
      <w:sz w:val="28"/>
      <w:szCs w:val="28"/>
    </w:rPr>
  </w:style>
  <w:style w:type="paragraph" w:styleId="1054" w:customStyle="1">
    <w:name w:val="正文 + 宋体"/>
    <w:basedOn w:val="887"/>
    <w:link w:val="1053"/>
    <w:uiPriority w:val="0"/>
    <w:qFormat/>
    <w:pPr>
      <w:ind w:left="-51"/>
      <w:keepLines/>
      <w:spacing w:before="120" w:after="120"/>
      <w:widowControl/>
      <w:tabs>
        <w:tab w:val="left" w:pos="1800" w:leader="none"/>
      </w:tabs>
    </w:pPr>
    <w:rPr>
      <w:rFonts w:ascii="新宋体" w:hAnsi="宋体" w:eastAsia="黑体"/>
      <w:bCs/>
      <w:szCs w:val="28"/>
    </w:rPr>
  </w:style>
  <w:style w:type="character" w:styleId="1055" w:customStyle="1">
    <w:name w:val="text_list1"/>
    <w:link w:val="700"/>
    <w:uiPriority w:val="0"/>
    <w:qFormat/>
    <w:rPr>
      <w:rFonts w:ascii="Arial" w:hAnsi="Arial" w:cs="Arial"/>
      <w:color w:val="000000"/>
      <w:spacing w:val="272"/>
      <w:sz w:val="16"/>
      <w:szCs w:val="16"/>
    </w:rPr>
  </w:style>
  <w:style w:type="character" w:styleId="1056" w:customStyle="1">
    <w:name w:val="样式 三号 下划线"/>
    <w:link w:val="700"/>
    <w:uiPriority w:val="0"/>
    <w:qFormat/>
    <w:rPr>
      <w:sz w:val="28"/>
      <w:u w:val="single"/>
    </w:rPr>
  </w:style>
  <w:style w:type="character" w:styleId="1057" w:customStyle="1">
    <w:name w:val="普通(网站) 字符"/>
    <w:link w:val="700"/>
    <w:uiPriority w:val="0"/>
    <w:qFormat/>
    <w:rPr>
      <w:rFonts w:ascii="宋体" w:hAnsi="宋体" w:cs="宋体"/>
      <w:sz w:val="24"/>
      <w:szCs w:val="24"/>
    </w:rPr>
  </w:style>
  <w:style w:type="character" w:styleId="1058" w:customStyle="1">
    <w:name w:val="Char Char14"/>
    <w:link w:val="700"/>
    <w:uiPriority w:val="0"/>
    <w:qFormat/>
    <w:rPr>
      <w:rFonts w:ascii="楷体_GB2312" w:hAnsi="Arial" w:eastAsia="楷体_GB2312" w:cs="Times New Roman"/>
      <w:sz w:val="28"/>
      <w:szCs w:val="24"/>
    </w:rPr>
  </w:style>
  <w:style w:type="character" w:styleId="1059" w:customStyle="1">
    <w:name w:val="普通正文 Char Char"/>
    <w:link w:val="1060"/>
    <w:uiPriority w:val="0"/>
    <w:qFormat/>
    <w:rPr>
      <w:rFonts w:ascii="Arial" w:hAnsi="Arial"/>
      <w:sz w:val="24"/>
      <w:szCs w:val="24"/>
    </w:rPr>
  </w:style>
  <w:style w:type="paragraph" w:styleId="1060" w:customStyle="1">
    <w:name w:val="普通正文"/>
    <w:basedOn w:val="700"/>
    <w:link w:val="1059"/>
    <w:uiPriority w:val="0"/>
    <w:qFormat/>
    <w:pPr>
      <w:ind w:firstLine="480"/>
      <w:spacing w:before="120" w:after="120" w:line="500" w:lineRule="exact"/>
    </w:pPr>
    <w:rPr>
      <w:rFonts w:ascii="Arial" w:hAnsi="Arial"/>
      <w:sz w:val="24"/>
      <w:szCs w:val="24"/>
    </w:rPr>
  </w:style>
  <w:style w:type="character" w:styleId="1061" w:customStyle="1">
    <w:name w:val="正文文本 Char Char"/>
    <w:link w:val="700"/>
    <w:uiPriority w:val="0"/>
    <w:qFormat/>
    <w:rPr>
      <w:rFonts w:ascii="楷体_GB2312" w:hAnsi="Arial" w:eastAsia="楷体_GB2312" w:cs="Times New Roman"/>
      <w:sz w:val="28"/>
      <w:szCs w:val="28"/>
    </w:rPr>
  </w:style>
  <w:style w:type="character" w:styleId="1062" w:customStyle="1">
    <w:name w:val="+正文 Char3"/>
    <w:link w:val="1063"/>
    <w:uiPriority w:val="0"/>
    <w:qFormat/>
    <w:rPr>
      <w:sz w:val="24"/>
      <w:szCs w:val="28"/>
    </w:rPr>
  </w:style>
  <w:style w:type="paragraph" w:styleId="1063" w:customStyle="1">
    <w:name w:val="+正文"/>
    <w:basedOn w:val="700"/>
    <w:link w:val="1062"/>
    <w:uiPriority w:val="0"/>
    <w:qFormat/>
    <w:pPr>
      <w:ind w:firstLine="200"/>
      <w:spacing w:line="360" w:lineRule="auto"/>
    </w:pPr>
    <w:rPr>
      <w:sz w:val="24"/>
      <w:szCs w:val="28"/>
    </w:rPr>
  </w:style>
  <w:style w:type="character" w:styleId="1064" w:customStyle="1">
    <w:name w:val="style331"/>
    <w:link w:val="700"/>
    <w:uiPriority w:val="0"/>
    <w:qFormat/>
    <w:rPr>
      <w:color w:val="9900ff"/>
      <w:sz w:val="18"/>
      <w:szCs w:val="18"/>
    </w:rPr>
  </w:style>
  <w:style w:type="character" w:styleId="1065" w:customStyle="1">
    <w:name w:val="一般文字 字元 Char"/>
    <w:link w:val="700"/>
    <w:uiPriority w:val="0"/>
    <w:qFormat/>
    <w:rPr>
      <w:rFonts w:ascii="宋体" w:hAnsi="Courier New" w:eastAsia="宋体"/>
      <w:sz w:val="21"/>
      <w:lang w:val="en-US" w:eastAsia="zh-CN" w:bidi="ar-SA"/>
    </w:rPr>
  </w:style>
  <w:style w:type="character" w:styleId="1066" w:customStyle="1">
    <w:name w:val="正文缩进 Char1"/>
    <w:link w:val="700"/>
    <w:uiPriority w:val="0"/>
    <w:qFormat/>
    <w:rPr>
      <w:rFonts w:eastAsia="楷体_GB2312"/>
      <w:sz w:val="24"/>
      <w:lang w:val="en-US" w:eastAsia="zh-CN" w:bidi="ar-SA"/>
    </w:rPr>
  </w:style>
  <w:style w:type="character" w:styleId="1067" w:customStyle="1">
    <w:name w:val="纯文本 Char1"/>
    <w:link w:val="700"/>
    <w:uiPriority w:val="0"/>
    <w:semiHidden/>
    <w:qFormat/>
    <w:rPr>
      <w:rFonts w:ascii="宋体" w:hAnsi="Courier New" w:eastAsia="宋体"/>
    </w:rPr>
  </w:style>
  <w:style w:type="paragraph" w:styleId="1068" w:customStyle="1">
    <w:name w:val="图形"/>
    <w:basedOn w:val="700"/>
    <w:uiPriority w:val="0"/>
    <w:qFormat/>
    <w:pPr>
      <w:ind w:firstLine="420"/>
      <w:jc w:val="center"/>
      <w:spacing w:after="20" w:line="288" w:lineRule="auto"/>
    </w:pPr>
    <w:rPr>
      <w:szCs w:val="24"/>
    </w:rPr>
  </w:style>
  <w:style w:type="paragraph" w:styleId="1069" w:customStyle="1">
    <w:name w:val="xl45"/>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70" w:customStyle="1">
    <w:name w:val="回信地址"/>
    <w:basedOn w:val="700"/>
    <w:uiPriority w:val="0"/>
    <w:qFormat/>
    <w:pPr>
      <w:ind w:right="-120" w:firstLine="420"/>
      <w:jc w:val="left"/>
      <w:keepLines/>
      <w:spacing w:after="20" w:line="200" w:lineRule="atLeast"/>
      <w:widowControl/>
    </w:pPr>
    <w:rPr>
      <w:sz w:val="16"/>
    </w:rPr>
  </w:style>
  <w:style w:type="paragraph" w:styleId="1071" w:customStyle="1">
    <w:name w:val="xl4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72" w:customStyle="1">
    <w:name w:val="xl3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3" w:customStyle="1">
    <w:name w:val="表中"/>
    <w:basedOn w:val="700"/>
    <w:uiPriority w:val="0"/>
    <w:qFormat/>
    <w:pPr>
      <w:jc w:val="center"/>
      <w:spacing w:line="360" w:lineRule="atLeast"/>
    </w:pPr>
  </w:style>
  <w:style w:type="paragraph" w:styleId="1074" w:customStyle="1">
    <w:name w:val="Char"/>
    <w:basedOn w:val="700"/>
    <w:uiPriority w:val="0"/>
    <w:qFormat/>
    <w:rPr>
      <w:rFonts w:ascii="仿宋_GB2312" w:eastAsia="仿宋_GB2312"/>
      <w:b/>
      <w:sz w:val="32"/>
      <w:szCs w:val="32"/>
    </w:rPr>
  </w:style>
  <w:style w:type="paragraph" w:styleId="1075" w:customStyle="1">
    <w:name w:val="font6"/>
    <w:basedOn w:val="700"/>
    <w:uiPriority w:val="0"/>
    <w:qFormat/>
    <w:pPr>
      <w:ind w:firstLine="420"/>
      <w:jc w:val="left"/>
      <w:spacing w:before="100" w:beforeAutospacing="1" w:after="100" w:afterAutospacing="1" w:line="288" w:lineRule="auto"/>
      <w:widowControl/>
    </w:pPr>
    <w:rPr>
      <w:sz w:val="24"/>
      <w:szCs w:val="24"/>
    </w:rPr>
  </w:style>
  <w:style w:type="paragraph" w:styleId="1076" w:customStyle="1">
    <w:name w:val="xl40"/>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77" w:customStyle="1">
    <w:name w:val="xl37"/>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7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79" w:customStyle="1">
    <w:name w:val="样式 纯文本 + 楷体_GB2312 小四 行距: 固定值 20 磅1"/>
    <w:basedOn w:val="938"/>
    <w:uiPriority w:val="0"/>
    <w:qFormat/>
    <w:pPr>
      <w:ind w:firstLine="200"/>
      <w:spacing w:line="400" w:lineRule="exact"/>
    </w:pPr>
    <w:rPr>
      <w:rFonts w:ascii="楷体_GB2312" w:eastAsia="楷体_GB2312"/>
      <w:sz w:val="24"/>
      <w:szCs w:val="20"/>
    </w:rPr>
  </w:style>
  <w:style w:type="paragraph" w:styleId="1080" w:customStyle="1">
    <w:name w:val="页眉1"/>
    <w:basedOn w:val="70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1" w:customStyle="1">
    <w:name w:val="yyn"/>
    <w:basedOn w:val="700"/>
    <w:uiPriority w:val="0"/>
    <w:qFormat/>
    <w:pPr>
      <w:ind w:right="562" w:firstLine="576"/>
      <w:keepNext/>
      <w:spacing w:line="360" w:lineRule="auto"/>
      <w:widowControl/>
    </w:pPr>
    <w:rPr>
      <w:rFonts w:ascii="宋体"/>
      <w:sz w:val="28"/>
    </w:rPr>
  </w:style>
  <w:style w:type="paragraph" w:styleId="1082" w:customStyle="1">
    <w:name w:val="标题2"/>
    <w:basedOn w:val="888"/>
    <w:next w:val="700"/>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3" w:customStyle="1">
    <w:name w:val="样式3"/>
    <w:basedOn w:val="938"/>
    <w:uiPriority w:val="0"/>
    <w:qFormat/>
    <w:pPr>
      <w:ind w:firstLine="448"/>
    </w:pPr>
    <w:rPr>
      <w:rFonts w:cs="Courier New"/>
      <w:color w:val="000000"/>
      <w:spacing w:val="-8"/>
    </w:rPr>
  </w:style>
  <w:style w:type="paragraph" w:styleId="1084" w:customStyle="1">
    <w:name w:val="xl44"/>
    <w:basedOn w:val="70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5" w:customStyle="1">
    <w:name w:val="附录1层"/>
    <w:basedOn w:val="700"/>
    <w:next w:val="700"/>
    <w:uiPriority w:val="0"/>
    <w:qFormat/>
    <w:pPr>
      <w:ind w:firstLine="448"/>
      <w:jc w:val="center"/>
      <w:spacing w:line="440" w:lineRule="exact"/>
    </w:pPr>
    <w:rPr>
      <w:rFonts w:ascii="黑体" w:hAnsi="宋体" w:eastAsia="黑体"/>
      <w:color w:val="000000"/>
      <w:spacing w:val="-8"/>
      <w:sz w:val="24"/>
    </w:rPr>
  </w:style>
  <w:style w:type="paragraph" w:styleId="1086" w:customStyle="1">
    <w:name w:val="正文1)"/>
    <w:basedOn w:val="70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87" w:customStyle="1">
    <w:name w:val="标题0"/>
    <w:basedOn w:val="981"/>
    <w:next w:val="981"/>
    <w:uiPriority w:val="0"/>
    <w:qFormat/>
    <w:rPr>
      <w:sz w:val="52"/>
    </w:rPr>
  </w:style>
  <w:style w:type="paragraph" w:styleId="1088" w:customStyle="1">
    <w:name w:val="Table Paragraph"/>
    <w:basedOn w:val="700"/>
    <w:uiPriority w:val="1"/>
    <w:qFormat/>
    <w:rPr>
      <w:rFonts w:ascii="宋体" w:hAnsi="宋体" w:cs="宋体"/>
      <w:szCs w:val="24"/>
      <w:lang w:val="zh-CN" w:bidi="zh-CN"/>
    </w:rPr>
  </w:style>
  <w:style w:type="paragraph" w:styleId="1089" w:customStyle="1">
    <w:name w:val="xl49"/>
    <w:basedOn w:val="700"/>
    <w:uiPriority w:val="0"/>
    <w:qFormat/>
    <w:pPr>
      <w:jc w:val="center"/>
      <w:spacing w:before="100" w:beforeAutospacing="1" w:after="100" w:afterAutospacing="1"/>
      <w:widowControl/>
    </w:pPr>
    <w:rPr>
      <w:rFonts w:ascii="宋体" w:hAnsi="宋体"/>
      <w:b/>
      <w:bCs/>
      <w:color w:val="000000"/>
      <w:sz w:val="40"/>
      <w:szCs w:val="40"/>
    </w:rPr>
  </w:style>
  <w:style w:type="paragraph" w:styleId="1090" w:customStyle="1">
    <w:name w:val="table_lines"/>
    <w:basedOn w:val="700"/>
    <w:uiPriority w:val="0"/>
    <w:qFormat/>
    <w:pPr>
      <w:jc w:val="left"/>
      <w:widowControl/>
    </w:pPr>
    <w:rPr>
      <w:sz w:val="20"/>
      <w:lang w:val="de-DE" w:eastAsia="de-DE"/>
    </w:rPr>
  </w:style>
  <w:style w:type="paragraph" w:styleId="1091" w:customStyle="1">
    <w:name w:val="font7"/>
    <w:basedOn w:val="700"/>
    <w:uiPriority w:val="0"/>
    <w:qFormat/>
    <w:pPr>
      <w:ind w:firstLine="420"/>
      <w:jc w:val="left"/>
      <w:spacing w:before="100" w:beforeAutospacing="1" w:after="100" w:afterAutospacing="1" w:line="288" w:lineRule="auto"/>
      <w:widowControl/>
    </w:pPr>
    <w:rPr>
      <w:b/>
      <w:bCs/>
      <w:sz w:val="24"/>
      <w:szCs w:val="24"/>
    </w:rPr>
  </w:style>
  <w:style w:type="paragraph" w:styleId="1092" w:customStyle="1">
    <w:name w:val="xl3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3" w:customStyle="1">
    <w:name w:val="正文(缩进)"/>
    <w:basedOn w:val="700"/>
    <w:uiPriority w:val="0"/>
    <w:qFormat/>
    <w:pPr>
      <w:ind w:firstLine="200"/>
      <w:spacing w:line="360" w:lineRule="auto"/>
      <w:widowControl/>
    </w:pPr>
    <w:rPr>
      <w:rFonts w:eastAsia="仿宋_GB2312"/>
      <w:sz w:val="24"/>
    </w:rPr>
  </w:style>
  <w:style w:type="paragraph" w:styleId="1094" w:customStyle="1">
    <w:name w:val="样式1"/>
    <w:basedOn w:val="890"/>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95" w:customStyle="1">
    <w:name w:val="并列项-点"/>
    <w:basedOn w:val="700"/>
    <w:uiPriority w:val="0"/>
    <w:qFormat/>
    <w:pPr>
      <w:ind w:left="851" w:hanging="284"/>
      <w:spacing w:before="120" w:line="360" w:lineRule="auto"/>
      <w:widowControl/>
      <w:tabs>
        <w:tab w:val="left" w:pos="851" w:leader="none"/>
        <w:tab w:val="left" w:pos="927" w:leader="none"/>
      </w:tabs>
    </w:pPr>
    <w:rPr>
      <w:sz w:val="24"/>
    </w:rPr>
  </w:style>
  <w:style w:type="paragraph" w:styleId="1096" w:customStyle="1">
    <w:name w:val="表蕊"/>
    <w:basedOn w:val="700"/>
    <w:uiPriority w:val="0"/>
    <w:qFormat/>
    <w:pPr>
      <w:jc w:val="left"/>
      <w:spacing w:line="320" w:lineRule="atLeast"/>
    </w:pPr>
    <w:rPr>
      <w:rFonts w:eastAsia="楷体_GB2312"/>
      <w:spacing w:val="-10"/>
    </w:rPr>
  </w:style>
  <w:style w:type="paragraph" w:styleId="1097" w:customStyle="1">
    <w:name w:val="正文缩进1"/>
    <w:basedOn w:val="700"/>
    <w:uiPriority w:val="99"/>
    <w:qFormat/>
    <w:pPr>
      <w:ind w:firstLine="200"/>
      <w:jc w:val="left"/>
      <w:spacing w:line="360" w:lineRule="auto"/>
      <w:widowControl/>
    </w:pPr>
    <w:rPr>
      <w:rFonts w:eastAsia="华文细黑"/>
      <w:sz w:val="24"/>
      <w:szCs w:val="21"/>
    </w:rPr>
  </w:style>
  <w:style w:type="paragraph" w:styleId="1098" w:customStyle="1">
    <w:name w:val="font5"/>
    <w:basedOn w:val="700"/>
    <w:uiPriority w:val="0"/>
    <w:qFormat/>
    <w:pPr>
      <w:jc w:val="left"/>
      <w:spacing w:before="100" w:beforeAutospacing="1" w:after="100" w:afterAutospacing="1"/>
      <w:widowControl/>
    </w:pPr>
    <w:rPr>
      <w:rFonts w:hint="eastAsia" w:ascii="宋体" w:hAnsi="宋体"/>
      <w:sz w:val="18"/>
      <w:szCs w:val="18"/>
    </w:rPr>
  </w:style>
  <w:style w:type="paragraph" w:styleId="1099" w:customStyle="1">
    <w:name w:val="产品型号"/>
    <w:basedOn w:val="70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00" w:customStyle="1">
    <w:name w:val="xl41"/>
    <w:basedOn w:val="70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1" w:customStyle="1">
    <w:name w:val="xl3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2" w:customStyle="1">
    <w:name w:val="名词解释11"/>
    <w:basedOn w:val="1103"/>
    <w:uiPriority w:val="0"/>
    <w:qFormat/>
    <w:pPr>
      <w:ind w:firstLine="0"/>
      <w:spacing w:after="0"/>
    </w:pPr>
  </w:style>
  <w:style w:type="paragraph" w:styleId="1103" w:customStyle="1">
    <w:name w:val="名词解释"/>
    <w:basedOn w:val="700"/>
    <w:uiPriority w:val="0"/>
    <w:qFormat/>
    <w:pPr>
      <w:ind w:left="2325" w:hanging="2325"/>
      <w:spacing w:after="20" w:line="288" w:lineRule="auto"/>
    </w:pPr>
  </w:style>
  <w:style w:type="paragraph" w:styleId="1104" w:customStyle="1">
    <w:name w:val="xl51"/>
    <w:basedOn w:val="70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05" w:customStyle="1">
    <w:name w:val="xl26"/>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6" w:customStyle="1">
    <w:name w:val="xl38"/>
    <w:basedOn w:val="70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7" w:customStyle="1">
    <w:name w:val="办公自动化专用正文"/>
    <w:basedOn w:val="700"/>
    <w:uiPriority w:val="0"/>
    <w:qFormat/>
    <w:pPr>
      <w:ind w:firstLine="624"/>
      <w:spacing w:line="500" w:lineRule="atLeast"/>
    </w:pPr>
    <w:rPr>
      <w:rFonts w:hAnsi="宋体" w:eastAsia="楷体_GB2312"/>
      <w:color w:val="000000"/>
      <w:spacing w:val="-8"/>
      <w:sz w:val="32"/>
    </w:rPr>
  </w:style>
  <w:style w:type="paragraph" w:styleId="1108" w:customStyle="1">
    <w:name w:val="样式 标题 2标题 2 Char Char + (西文) 仿宋_GB2312"/>
    <w:basedOn w:val="888"/>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09" w:customStyle="1">
    <w:name w:val="章标题"/>
    <w:next w:val="700"/>
    <w:uiPriority w:val="0"/>
    <w:qFormat/>
    <w:pPr>
      <w:jc w:val="both"/>
      <w:outlineLvl w:val="1"/>
    </w:pPr>
    <w:rPr>
      <w:rFonts w:hint="default" w:ascii="黑体" w:hAnsi="Times New Roman" w:eastAsia="黑体" w:cs="Times New Roman"/>
      <w:sz w:val="21"/>
      <w:lang w:val="en-US" w:eastAsia="zh-CN" w:bidi="ar-SA"/>
    </w:rPr>
  </w:style>
  <w:style w:type="paragraph" w:styleId="1110" w:customStyle="1">
    <w:name w:val="Char Char Char Char Char Char Char Char Char Char Char"/>
    <w:basedOn w:val="915"/>
    <w:uiPriority w:val="0"/>
    <w:qFormat/>
    <w:pPr>
      <w:ind w:firstLine="420"/>
    </w:pPr>
    <w:rPr>
      <w:rFonts w:hAnsi="宋体"/>
      <w:color w:val="000000"/>
      <w:spacing w:val="-8"/>
      <w:sz w:val="21"/>
      <w:shd w:val="clear" w:color="auto" w:fill="000080"/>
    </w:rPr>
  </w:style>
  <w:style w:type="paragraph" w:styleId="1111" w:customStyle="1">
    <w:name w:val="text"/>
    <w:basedOn w:val="700"/>
    <w:uiPriority w:val="0"/>
    <w:qFormat/>
    <w:pPr>
      <w:ind w:left="1098" w:hanging="2"/>
      <w:spacing w:after="60" w:line="264" w:lineRule="auto"/>
      <w:widowControl/>
      <w:tabs>
        <w:tab w:val="left" w:pos="1020" w:leader="none"/>
        <w:tab w:val="left" w:pos="1090" w:leader="none"/>
      </w:tabs>
    </w:pPr>
    <w:rPr>
      <w:sz w:val="24"/>
      <w:szCs w:val="24"/>
    </w:rPr>
  </w:style>
  <w:style w:type="paragraph" w:styleId="1112" w:customStyle="1">
    <w:name w:val="函数注释1"/>
    <w:basedOn w:val="700"/>
    <w:uiPriority w:val="0"/>
    <w:qFormat/>
    <w:pPr>
      <w:ind w:left="1678" w:right="210" w:hanging="1049"/>
      <w:jc w:val="left"/>
      <w:spacing w:after="20" w:line="320" w:lineRule="exact"/>
    </w:pPr>
  </w:style>
  <w:style w:type="paragraph" w:styleId="1113" w:customStyle="1">
    <w:name w:val="列表_名词"/>
    <w:basedOn w:val="1102"/>
    <w:uiPriority w:val="0"/>
    <w:qFormat/>
    <w:pPr>
      <w:ind w:left="2745" w:hanging="420"/>
      <w:tabs>
        <w:tab w:val="left" w:pos="2745" w:leader="none"/>
      </w:tabs>
    </w:pPr>
  </w:style>
  <w:style w:type="paragraph" w:styleId="1114" w:customStyle="1">
    <w:name w:val="样式 标题 3 + (西文) 宋体 黑色"/>
    <w:basedOn w:val="889"/>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15" w:customStyle="1">
    <w:name w:val="Javis"/>
    <w:basedOn w:val="700"/>
    <w:uiPriority w:val="0"/>
    <w:qFormat/>
    <w:pPr>
      <w:ind w:right="210"/>
    </w:pPr>
    <w:rPr>
      <w:rFonts w:cs="宋体"/>
      <w:sz w:val="24"/>
    </w:rPr>
  </w:style>
  <w:style w:type="paragraph" w:styleId="1116" w:customStyle="1">
    <w:name w:val="样式 标题 1 + 加粗"/>
    <w:basedOn w:val="887"/>
    <w:uiPriority w:val="0"/>
    <w:qFormat/>
    <w:pPr>
      <w:keepLines/>
      <w:spacing w:before="120" w:after="120"/>
      <w:widowControl/>
      <w:tabs>
        <w:tab w:val="left" w:pos="1800" w:leader="none"/>
      </w:tabs>
    </w:pPr>
    <w:rPr>
      <w:rFonts w:ascii="新宋体" w:hAnsi="宋体" w:eastAsia="黑体"/>
      <w:bCs/>
      <w:szCs w:val="28"/>
    </w:rPr>
  </w:style>
  <w:style w:type="paragraph" w:styleId="1117" w:customStyle="1">
    <w:name w:val="重点"/>
    <w:basedOn w:val="700"/>
    <w:uiPriority w:val="0"/>
    <w:qFormat/>
    <w:pPr>
      <w:ind w:firstLine="420"/>
      <w:spacing w:after="20" w:line="288" w:lineRule="auto"/>
      <w:shd w:val="pct10" w:color="auto" w:fill="auto"/>
    </w:pPr>
    <w:rPr>
      <w:rFonts w:eastAsia="黑体"/>
      <w:b/>
      <w:szCs w:val="24"/>
    </w:rPr>
  </w:style>
  <w:style w:type="paragraph" w:styleId="1118" w:customStyle="1">
    <w:name w:val="目录"/>
    <w:basedOn w:val="700"/>
    <w:next w:val="700"/>
    <w:uiPriority w:val="0"/>
    <w:qFormat/>
    <w:pPr>
      <w:ind w:firstLine="420"/>
      <w:jc w:val="center"/>
      <w:spacing w:before="360" w:after="360" w:line="360" w:lineRule="auto"/>
    </w:pPr>
    <w:rPr>
      <w:b/>
      <w:spacing w:val="200"/>
      <w:sz w:val="36"/>
    </w:rPr>
  </w:style>
  <w:style w:type="paragraph" w:styleId="1119"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样式2"/>
    <w:basedOn w:val="889"/>
    <w:uiPriority w:val="0"/>
    <w:qFormat/>
    <w:pPr>
      <w:ind w:firstLine="448"/>
      <w:jc w:val="both"/>
      <w:keepLines/>
      <w:spacing w:line="416" w:lineRule="auto"/>
    </w:pPr>
    <w:rPr>
      <w:rFonts w:hAnsi="宋体" w:eastAsia="宋体"/>
      <w:color w:val="000000"/>
      <w:spacing w:val="-8"/>
      <w:sz w:val="24"/>
      <w:szCs w:val="32"/>
    </w:rPr>
  </w:style>
  <w:style w:type="paragraph" w:styleId="1121" w:customStyle="1">
    <w:name w:val="Char Char Char Char Char Char Char Char Char Char Char Char Char Char Char Char"/>
    <w:basedOn w:val="700"/>
    <w:uiPriority w:val="0"/>
    <w:qFormat/>
    <w:pPr>
      <w:tabs>
        <w:tab w:val="left" w:pos="360" w:leader="none"/>
      </w:tabs>
    </w:pPr>
    <w:rPr>
      <w:sz w:val="24"/>
      <w:szCs w:val="24"/>
    </w:rPr>
  </w:style>
  <w:style w:type="paragraph" w:styleId="1122" w:customStyle="1">
    <w:name w:val="xl52"/>
    <w:basedOn w:val="70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3" w:customStyle="1">
    <w:name w:val="函数注释2"/>
    <w:basedOn w:val="700"/>
    <w:uiPriority w:val="0"/>
    <w:qFormat/>
    <w:pPr>
      <w:ind w:left="1680" w:firstLine="420"/>
      <w:spacing w:after="20" w:line="288" w:lineRule="auto"/>
    </w:pPr>
    <w:rPr>
      <w:szCs w:val="24"/>
    </w:rPr>
  </w:style>
  <w:style w:type="paragraph" w:styleId="1124" w:customStyle="1">
    <w:name w:val="xl2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5" w:customStyle="1">
    <w:name w:val="xl24"/>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6" w:customStyle="1">
    <w:name w:val="xl42"/>
    <w:basedOn w:val="70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27" w:customStyle="1">
    <w:name w:val="复选框1"/>
    <w:basedOn w:val="700"/>
    <w:uiPriority w:val="0"/>
    <w:qFormat/>
    <w:pPr>
      <w:ind w:firstLine="448"/>
      <w:spacing w:before="360" w:after="360"/>
      <w:widowControl/>
    </w:pPr>
    <w:rPr>
      <w:rFonts w:hAnsi="宋体"/>
      <w:color w:val="000000"/>
      <w:spacing w:val="-8"/>
      <w:sz w:val="20"/>
    </w:rPr>
  </w:style>
  <w:style w:type="paragraph" w:styleId="1128" w:customStyle="1">
    <w:name w:val="Char Char Char Char Char Char Char"/>
    <w:basedOn w:val="700"/>
    <w:uiPriority w:val="0"/>
    <w:qFormat/>
    <w:pPr>
      <w:jc w:val="left"/>
      <w:spacing w:after="160" w:line="240" w:lineRule="exact"/>
      <w:widowControl/>
    </w:pPr>
    <w:rPr>
      <w:rFonts w:ascii="Arial" w:hAnsi="Arial" w:eastAsia="Times New Roman" w:cs="Verdana"/>
      <w:b/>
      <w:sz w:val="24"/>
      <w:szCs w:val="24"/>
      <w:lang w:eastAsia="en-US"/>
    </w:rPr>
  </w:style>
  <w:style w:type="paragraph" w:styleId="1129" w:customStyle="1">
    <w:name w:val="标准文字"/>
    <w:basedOn w:val="700"/>
    <w:uiPriority w:val="0"/>
    <w:qFormat/>
    <w:pPr>
      <w:ind w:firstLine="420"/>
      <w:spacing w:after="20" w:line="360" w:lineRule="auto"/>
    </w:pPr>
    <w:rPr>
      <w:szCs w:val="24"/>
    </w:rPr>
  </w:style>
  <w:style w:type="paragraph" w:styleId="1130" w:customStyle="1">
    <w:name w:val="Char Char Char Char"/>
    <w:basedOn w:val="700"/>
    <w:uiPriority w:val="0"/>
    <w:qFormat/>
    <w:pPr>
      <w:jc w:val="left"/>
      <w:spacing w:after="160" w:line="240" w:lineRule="exact"/>
      <w:widowControl/>
    </w:pPr>
    <w:rPr>
      <w:rFonts w:ascii="Verdana" w:hAnsi="Verdana" w:eastAsia="仿宋_GB2312"/>
      <w:sz w:val="24"/>
      <w:lang w:eastAsia="en-US"/>
    </w:rPr>
  </w:style>
  <w:style w:type="paragraph" w:styleId="1131" w:customStyle="1">
    <w:name w:val="样式一"/>
    <w:basedOn w:val="70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32" w:customStyle="1">
    <w:name w:val="程序代码"/>
    <w:basedOn w:val="700"/>
    <w:uiPriority w:val="0"/>
    <w:qFormat/>
    <w:pPr>
      <w:ind w:left="839" w:firstLine="420"/>
      <w:spacing w:after="20" w:line="288" w:lineRule="auto"/>
    </w:pPr>
    <w:rPr>
      <w:rFonts w:eastAsia="仿宋_GB2312"/>
      <w:szCs w:val="24"/>
    </w:rPr>
  </w:style>
  <w:style w:type="paragraph" w:styleId="1133" w:customStyle="1">
    <w:name w:val="表格文字"/>
    <w:basedOn w:val="700"/>
    <w:uiPriority w:val="0"/>
    <w:qFormat/>
    <w:pPr>
      <w:jc w:val="left"/>
      <w:spacing w:line="288" w:lineRule="auto"/>
    </w:pPr>
  </w:style>
  <w:style w:type="paragraph" w:styleId="1134"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5" w:customStyle="1">
    <w:name w:val="xl29"/>
    <w:basedOn w:val="70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6" w:customStyle="1">
    <w:name w:val="xl47"/>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37"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8" w:customStyle="1">
    <w:name w:val="xl23"/>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9" w:customStyle="1">
    <w:name w:val="List Paragraph[858D7CFB-ED40-4347-BF05-701D383B685F][858D7CFB-ED40-4347-BF05-701D383B685F]"/>
    <w:basedOn w:val="700"/>
    <w:uiPriority w:val="0"/>
    <w:qFormat/>
    <w:pPr>
      <w:ind w:firstLine="420"/>
    </w:pPr>
    <w:rPr>
      <w:rFonts w:ascii="Calibri" w:hAnsi="Calibri"/>
      <w:color w:val="000000"/>
      <w:spacing w:val="-8"/>
      <w:szCs w:val="22"/>
    </w:rPr>
  </w:style>
  <w:style w:type="paragraph" w:styleId="1140" w:customStyle="1">
    <w:name w:val="xl30"/>
    <w:basedOn w:val="70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1" w:customStyle="1">
    <w:name w:val="文档标签"/>
    <w:next w:val="70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42" w:customStyle="1">
    <w:name w:val="whs5"/>
    <w:basedOn w:val="700"/>
    <w:uiPriority w:val="0"/>
    <w:qFormat/>
    <w:pPr>
      <w:ind w:left="115" w:right="130" w:firstLine="448"/>
      <w:widowControl/>
    </w:pPr>
    <w:rPr>
      <w:rFonts w:hAnsi="宋体"/>
      <w:color w:val="000000"/>
      <w:spacing w:val="-8"/>
      <w:sz w:val="18"/>
      <w:szCs w:val="18"/>
      <w:lang w:eastAsia="en-US"/>
    </w:rPr>
  </w:style>
  <w:style w:type="paragraph" w:styleId="1143" w:customStyle="1">
    <w:name w:val="Char Char Char Char Char Char"/>
    <w:basedOn w:val="700"/>
    <w:uiPriority w:val="0"/>
    <w:qFormat/>
    <w:pPr>
      <w:jc w:val="left"/>
      <w:spacing w:after="160" w:line="240" w:lineRule="exact"/>
      <w:widowControl/>
    </w:pPr>
    <w:rPr>
      <w:rFonts w:ascii="黑体" w:hAnsi="Verdana" w:eastAsia="黑体"/>
      <w:sz w:val="32"/>
      <w:szCs w:val="32"/>
    </w:rPr>
  </w:style>
  <w:style w:type="paragraph" w:styleId="1144" w:customStyle="1">
    <w:name w:val="表格标题"/>
    <w:basedOn w:val="700"/>
    <w:uiPriority w:val="0"/>
    <w:qFormat/>
    <w:pPr>
      <w:jc w:val="center"/>
      <w:spacing w:before="120" w:line="400" w:lineRule="exact"/>
    </w:pPr>
    <w:rPr>
      <w:rFonts w:eastAsia="文鼎CS中宋"/>
      <w:spacing w:val="8"/>
      <w:sz w:val="24"/>
    </w:rPr>
  </w:style>
  <w:style w:type="paragraph" w:styleId="1145" w:customStyle="1">
    <w:name w:val="列表2"/>
    <w:basedOn w:val="700"/>
    <w:uiPriority w:val="0"/>
    <w:qFormat/>
    <w:pPr>
      <w:ind w:left="1469" w:hanging="420"/>
      <w:spacing w:after="20" w:line="288" w:lineRule="auto"/>
      <w:tabs>
        <w:tab w:val="left" w:pos="1470" w:leader="none"/>
      </w:tabs>
    </w:pPr>
    <w:rPr>
      <w:szCs w:val="24"/>
    </w:rPr>
  </w:style>
  <w:style w:type="paragraph" w:styleId="1146" w:customStyle="1">
    <w:name w:val="列表段落1"/>
    <w:basedOn w:val="700"/>
    <w:uiPriority w:val="0"/>
    <w:qFormat/>
    <w:pPr>
      <w:ind w:firstLine="420"/>
    </w:pPr>
    <w:rPr>
      <w:rFonts w:ascii="Calibri" w:hAnsi="Calibri"/>
      <w:szCs w:val="22"/>
    </w:rPr>
  </w:style>
  <w:style w:type="paragraph" w:styleId="1147" w:customStyle="1">
    <w:name w:val="xl28"/>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8" w:customStyle="1">
    <w:name w:val="Char Char Char1 Char Char Char"/>
    <w:basedOn w:val="700"/>
    <w:uiPriority w:val="0"/>
    <w:qFormat/>
    <w:pPr>
      <w:ind w:firstLine="200"/>
    </w:pPr>
    <w:rPr>
      <w:rFonts w:ascii="Tahoma" w:hAnsi="Tahoma"/>
      <w:sz w:val="24"/>
    </w:rPr>
  </w:style>
  <w:style w:type="paragraph" w:styleId="1149" w:customStyle="1">
    <w:name w:val="xl35"/>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0"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xl43"/>
    <w:basedOn w:val="70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52" w:customStyle="1">
    <w:name w:val="表头"/>
    <w:basedOn w:val="700"/>
    <w:uiPriority w:val="0"/>
    <w:qFormat/>
    <w:pPr>
      <w:jc w:val="center"/>
      <w:spacing w:line="320" w:lineRule="atLeast"/>
    </w:pPr>
    <w:rPr>
      <w:rFonts w:eastAsia="黑体"/>
      <w:spacing w:val="-10"/>
    </w:rPr>
  </w:style>
  <w:style w:type="paragraph" w:styleId="1153" w:customStyle="1">
    <w:name w:val="标准式样"/>
    <w:basedOn w:val="966"/>
    <w:uiPriority w:val="0"/>
    <w:qFormat/>
  </w:style>
  <w:style w:type="paragraph" w:styleId="1154" w:customStyle="1">
    <w:name w:val="xl50"/>
    <w:basedOn w:val="700"/>
    <w:uiPriority w:val="0"/>
    <w:qFormat/>
    <w:pPr>
      <w:jc w:val="center"/>
      <w:spacing w:before="100" w:beforeAutospacing="1" w:after="100" w:afterAutospacing="1"/>
      <w:widowControl/>
    </w:pPr>
    <w:rPr>
      <w:rFonts w:ascii="宋体" w:hAnsi="宋体"/>
      <w:b/>
      <w:bCs/>
      <w:sz w:val="40"/>
      <w:szCs w:val="40"/>
    </w:rPr>
  </w:style>
  <w:style w:type="paragraph" w:styleId="1155" w:customStyle="1">
    <w:name w:val="Char1"/>
    <w:basedOn w:val="700"/>
    <w:uiPriority w:val="0"/>
    <w:qFormat/>
    <w:pPr>
      <w:ind w:firstLine="448"/>
    </w:pPr>
    <w:rPr>
      <w:rFonts w:ascii="宋体" w:hAnsi="宋体" w:eastAsia="仿宋_GB2312"/>
      <w:b/>
      <w:color w:val="000000"/>
      <w:spacing w:val="-8"/>
      <w:sz w:val="32"/>
      <w:szCs w:val="32"/>
    </w:rPr>
  </w:style>
  <w:style w:type="paragraph" w:styleId="1156" w:customStyle="1">
    <w:name w:val="font0"/>
    <w:basedOn w:val="700"/>
    <w:uiPriority w:val="0"/>
    <w:qFormat/>
    <w:pPr>
      <w:jc w:val="left"/>
      <w:spacing w:before="100" w:beforeAutospacing="1" w:after="100" w:afterAutospacing="1"/>
      <w:widowControl/>
    </w:pPr>
    <w:rPr>
      <w:rFonts w:hint="eastAsia" w:ascii="宋体" w:hAnsi="宋体"/>
      <w:sz w:val="18"/>
      <w:szCs w:val="18"/>
    </w:rPr>
  </w:style>
  <w:style w:type="paragraph" w:styleId="1157" w:customStyle="1">
    <w:name w:val="xl27"/>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8" w:customStyle="1">
    <w:name w:val="简介正文"/>
    <w:basedOn w:val="700"/>
    <w:uiPriority w:val="0"/>
    <w:qFormat/>
    <w:pPr>
      <w:ind w:left="1701" w:hanging="1701"/>
      <w:spacing w:after="20" w:line="520" w:lineRule="exact"/>
      <w:tabs>
        <w:tab w:val="left" w:pos="425" w:leader="none"/>
      </w:tabs>
    </w:pPr>
    <w:rPr>
      <w:sz w:val="24"/>
    </w:rPr>
  </w:style>
  <w:style w:type="paragraph" w:styleId="1159" w:customStyle="1">
    <w:name w:val="xl3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0"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1"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62" w:customStyle="1">
    <w:name w:val="Other|1"/>
    <w:basedOn w:val="700"/>
    <w:uiPriority w:val="0"/>
    <w:qFormat/>
    <w:pPr>
      <w:ind w:firstLine="220"/>
    </w:pPr>
    <w:rPr>
      <w:rFonts w:ascii="宋体" w:hAnsi="宋体" w:cs="宋体"/>
      <w:sz w:val="20"/>
      <w:lang w:val="zh-TW" w:eastAsia="zh-TW" w:bidi="zh-TW"/>
    </w:rPr>
  </w:style>
  <w:style w:type="paragraph" w:styleId="1163" w:customStyle="1">
    <w:name w:val="WPSOffice手动目录 1"/>
    <w:uiPriority w:val="0"/>
    <w:qFormat/>
    <w:rPr>
      <w:rFonts w:hint="default" w:ascii="Times New Roman" w:hAnsi="Times New Roman" w:eastAsia="宋体" w:cs="Times New Roman"/>
      <w:sz w:val="20"/>
      <w:szCs w:val="20"/>
    </w:rPr>
  </w:style>
  <w:style w:type="character" w:styleId="1164" w:customStyle="1">
    <w:name w:val="Hyperlink.0"/>
    <w:basedOn w:val="1027"/>
    <w:link w:val="700"/>
    <w:uiPriority w:val="0"/>
    <w:qFormat/>
    <w:rPr>
      <w:rFonts w:ascii="宋体" w:hAnsi="宋体" w:eastAsia="宋体" w:cs="宋体"/>
      <w:sz w:val="24"/>
      <w:szCs w:val="24"/>
      <w:lang w:val="en-US"/>
    </w:rPr>
  </w:style>
  <w:style w:type="character" w:styleId="1165" w:customStyle="1">
    <w:name w:val="font51"/>
    <w:basedOn w:val="710"/>
    <w:uiPriority w:val="0"/>
    <w:qFormat/>
    <w:rPr>
      <w:rFonts w:ascii="方正仿宋_GBK" w:hAnsi="方正仿宋_GBK" w:eastAsia="方正仿宋_GBK" w:cs="方正仿宋_GBK"/>
      <w:color w:val="000000"/>
      <w:sz w:val="22"/>
      <w:szCs w:val="22"/>
      <w:u w:val="none"/>
    </w:rPr>
  </w:style>
  <w:style w:type="character" w:styleId="1166" w:customStyle="1">
    <w:name w:val="font111"/>
    <w:basedOn w:val="710"/>
    <w:uiPriority w:val="0"/>
    <w:qFormat/>
    <w:rPr>
      <w:rFonts w:hint="default" w:ascii="Times New Roman" w:hAnsi="Times New Roman" w:cs="Times New Roman"/>
      <w:color w:val="000000"/>
      <w:sz w:val="24"/>
      <w:szCs w:val="24"/>
      <w:u w:val="none"/>
    </w:rPr>
  </w:style>
  <w:style w:type="character" w:styleId="1167" w:customStyle="1">
    <w:name w:val="font122"/>
    <w:basedOn w:val="710"/>
    <w:uiPriority w:val="0"/>
    <w:qFormat/>
    <w:rPr>
      <w:rFonts w:hint="default" w:ascii="Times New Roman" w:hAnsi="Times New Roman" w:cs="Times New Roman"/>
      <w:color w:val="000000"/>
      <w:sz w:val="24"/>
      <w:szCs w:val="24"/>
      <w:u w:val="none"/>
    </w:rPr>
  </w:style>
  <w:style w:type="character" w:styleId="1168" w:customStyle="1">
    <w:name w:val="font31"/>
    <w:basedOn w:val="710"/>
    <w:uiPriority w:val="0"/>
    <w:qFormat/>
    <w:rPr>
      <w:rFonts w:hint="eastAsia" w:ascii="方正仿宋_GBK" w:hAnsi="方正仿宋_GBK" w:eastAsia="方正仿宋_GBK" w:cs="方正仿宋_GBK"/>
      <w:color w:val="000000"/>
      <w:sz w:val="24"/>
      <w:szCs w:val="24"/>
      <w:u w:val="none"/>
    </w:rPr>
  </w:style>
  <w:style w:type="character" w:styleId="1169" w:customStyle="1">
    <w:name w:val="font81"/>
    <w:basedOn w:val="710"/>
    <w:uiPriority w:val="0"/>
    <w:qFormat/>
    <w:rPr>
      <w:rFonts w:hint="default" w:ascii="Times New Roman" w:hAnsi="Times New Roman" w:cs="Times New Roman"/>
      <w:color w:val="000000"/>
      <w:sz w:val="24"/>
      <w:szCs w:val="24"/>
      <w:u w:val="none"/>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27c9b075-793a-45ec-889f-10dfa38eb721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5602358A</paraID>
      <start>89</start>
      <end>90</end>
      <status>unmodified</status>
      <modifiedWord/>
      <trackRevisions>false</trackRevisions>
    </reviewItem>
    <reviewItem>
      <errorID>823b7b64-29ae-47c2-ba02-47a77dcf6ae7</errorID>
      <errorWord>“.</errorWord>
      <group>L1_Punc</group>
      <groupName>标点问题</groupName>
      <ability>L2_Punc_CN</ability>
      <abilityName>标点符号问题</abilityName>
      <candidateList>
        <item>“</item>
      </candidateList>
      <explain/>
      <paraID>5602358A</paraID>
      <start>199</start>
      <end>201</end>
      <status>unmodified</status>
      <modifiedWord/>
      <trackRevisions>false</trackRevisions>
    </reviewItem>
    <reviewItem>
      <errorID>e8d95dd0-e1f1-4902-b446-b430d802dcaf</errorID>
      <errorWord>“.</errorWord>
      <group>L1_Punc</group>
      <groupName>标点问题</groupName>
      <ability>L2_Punc_CN</ability>
      <abilityName>标点符号问题</abilityName>
      <candidateList>
        <item>“</item>
      </candidateList>
      <explain/>
      <paraID>5602358A</paraID>
      <start>261</start>
      <end>263</end>
      <status>unmodified</status>
      <modifiedWord/>
      <trackRevisions>false</trackRevisions>
    </reviewItem>
    <reviewItem>
      <errorID>3fbf6962-190b-4d1a-a33b-5d22926e3313</errorID>
      <errorWord>“.</errorWord>
      <group>L1_Punc</group>
      <groupName>标点问题</groupName>
      <ability>L2_Punc_CN</ability>
      <abilityName>标点符号问题</abilityName>
      <candidateList>
        <item>“</item>
      </candidateList>
      <explain/>
      <paraID>1CA27360</paraID>
      <start>11</start>
      <end>13</end>
      <status>unmodified</status>
      <modifiedWord/>
      <trackRevisions>false</trackRevisions>
    </reviewItem>
    <reviewItem>
      <errorID>a0085c1b-b466-4337-85ef-310fd1e2b2ed</errorID>
      <errorWord>树型</errorWord>
      <group>L1_Word</group>
      <groupName>字词问题</groupName>
      <ability>L2_Typo</ability>
      <abilityName>字词错误</abilityName>
      <candidateList>
        <item>树形</item>
      </candidateList>
      <explain>存在发音相同字词的误用。</explain>
      <paraID>156FE033</paraID>
      <start>84</start>
      <end>86</end>
      <status>unmodified</status>
      <modifiedWord/>
      <trackRevisions>false</trackRevisions>
    </reviewItem>
    <reviewItem>
      <errorID>8d868dec-8066-41fa-816f-5c5eb1d73583</errorID>
      <errorWord>攀援</errorWord>
      <group>L1_Word</group>
      <groupName>字词问题</groupName>
      <ability>L2_Alias</ability>
      <abilityName>也作/曾用词</abilityName>
      <candidateList>
        <item>攀缘</item>
      </candidateList>
      <explain>词汇[攀援]为不规范表述或旧称，其规范书面表述为[攀缘]。</explain>
      <paraID>156FE033</paraID>
      <start>134</start>
      <end>136</end>
      <status>unmodified</status>
      <modifiedWord/>
      <trackRevisions>false</trackRevisions>
    </reviewItem>
    <reviewItem>
      <errorID>b4967f47-9fbf-4f15-aa02-13abc0031c56</errorID>
      <errorWord>株形</errorWord>
      <group>L1_Word</group>
      <groupName>字词问题</groupName>
      <ability>L2_Typo</ability>
      <abilityName>字词错误</abilityName>
      <candidateList>
        <item>株型</item>
      </candidateList>
      <explain>存在发音相同字词的误用。</explain>
      <paraID>7A7F1177</paraID>
      <start>3</start>
      <end>5</end>
      <status>unmodified</status>
      <modifiedWord/>
      <trackRevisions>false</trackRevisions>
    </reviewItem>
    <reviewItem>
      <errorID>71fc6dd2-f945-4b59-b1aa-5e3e06cb18c7</errorID>
      <errorWord>一、二年</errorWord>
      <group>L1_Punc</group>
      <groupName>标点问题</groupName>
      <ability>L2_Punc_CN</ability>
      <abilityName>标点符号问题</abilityName>
      <candidateList>
        <item>一二年</item>
      </candidateList>
      <explain/>
      <paraID>45C9E809</paraID>
      <start>15</start>
      <end>19</end>
      <status>unmodified</status>
      <modifiedWord/>
      <trackRevisions>false</trackRevisions>
    </reviewItem>
    <reviewItem>
      <errorID>f0f3754e-e4f8-4403-a6dd-bf54744c60f0</errorID>
      <errorWord>设施量</errorWord>
      <group>L1_Word</group>
      <groupName>字词问题</groupName>
      <ability>L2_Typo</ability>
      <abilityName>字词错误</abilityName>
      <candidateList>
        <item>设施</item>
      </candidateList>
      <explain/>
      <paraID>5F010C36</paraID>
      <start>12</start>
      <end>15</end>
      <status>unmodified</status>
      <modifiedWord/>
      <trackRevisions>false</trackRevisions>
    </reviewItem>
    <reviewItem>
      <errorID>82b5f6f4-56a9-46e0-ae55-f37182e5d121</errorID>
      <errorWord>涵义</errorWord>
      <group>L1_Word</group>
      <groupName>字词问题</groupName>
      <ability>L2_Alias</ability>
      <abilityName>也作/曾用词</abilityName>
      <candidateList>
        <item>含义</item>
      </candidateList>
      <explain>词汇[涵义]为不规范表述或旧称，其规范书面表述为[含义]。</explain>
      <paraID>17404166</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5EC61DD-01BC-47CF-8176-46F4E7FCA3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邱小宇</cp:lastModifiedBy>
  <cp:revision>3</cp:revision>
  <dcterms:created xsi:type="dcterms:W3CDTF">2022-07-11T04:13:00Z</dcterms:created>
  <dcterms:modified xsi:type="dcterms:W3CDTF">2026-07-08T07:19:28Z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A6313E9B121D44838CCE286A09359D17_13</vt:lpwstr>
  </property>
  <property fmtid="{D5CDD505-2E9C-101B-9397-08002B2CF9AE}" pid="4" name="KSOTemplateDocerSaveRecord">
    <vt:lpwstr>eyJoZGlkIjoiZGRiZWYzNTkzYmEwYTZmYjk3ZGQ3OGQwNTA0ZmI1YWIiLCJ1c2VySWQiOiIxMDI1MzcwNjcwIn0=</vt:lpwstr>
  </property>
</Properties>
</file>